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3056B" w:rsidRDefault="00B95938" w:rsidP="00240DB6">
      <w:pPr>
        <w:ind w:firstLine="0"/>
        <w:jc w:val="right"/>
        <w:rPr>
          <w:b/>
          <w:lang w:eastAsia="el-GR"/>
        </w:rPr>
      </w:pPr>
      <w:r w:rsidRPr="00240DB6">
        <w:rPr>
          <w:b/>
          <w:noProof/>
          <w:lang w:eastAsia="el-GR"/>
        </w:rPr>
        <w:drawing>
          <wp:inline distT="0" distB="0" distL="0" distR="0">
            <wp:extent cx="2848610" cy="885190"/>
            <wp:effectExtent l="0" t="0" r="0" b="0"/>
            <wp:docPr id="1"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8610" cy="885190"/>
                    </a:xfrm>
                    <a:prstGeom prst="rect">
                      <a:avLst/>
                    </a:prstGeom>
                    <a:noFill/>
                    <a:ln>
                      <a:noFill/>
                    </a:ln>
                  </pic:spPr>
                </pic:pic>
              </a:graphicData>
            </a:graphic>
          </wp:inline>
        </w:drawing>
      </w:r>
      <w:r w:rsidR="00240DB6" w:rsidRPr="00240DB6">
        <w:rPr>
          <w:b/>
          <w:lang w:eastAsia="el-GR"/>
        </w:rPr>
        <w:t xml:space="preserve">                      </w:t>
      </w:r>
      <w:r w:rsidRPr="00240DB6">
        <w:rPr>
          <w:b/>
          <w:noProof/>
          <w:lang w:eastAsia="el-GR"/>
        </w:rPr>
        <w:drawing>
          <wp:inline distT="0" distB="0" distL="0" distR="0">
            <wp:extent cx="2021840" cy="1165225"/>
            <wp:effectExtent l="0" t="0" r="0" b="0"/>
            <wp:docPr id="2" name="Εικόν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840" cy="1165225"/>
                    </a:xfrm>
                    <a:prstGeom prst="rect">
                      <a:avLst/>
                    </a:prstGeom>
                    <a:noFill/>
                    <a:ln>
                      <a:noFill/>
                    </a:ln>
                  </pic:spPr>
                </pic:pic>
              </a:graphicData>
            </a:graphic>
          </wp:inline>
        </w:drawing>
      </w:r>
    </w:p>
    <w:p w:rsidR="00C3056B" w:rsidRDefault="00C3056B" w:rsidP="00C3056B">
      <w:pPr>
        <w:ind w:firstLine="0"/>
        <w:jc w:val="center"/>
        <w:rPr>
          <w:b/>
          <w:lang w:eastAsia="el-GR"/>
        </w:rPr>
      </w:pPr>
    </w:p>
    <w:p w:rsidR="00240DB6" w:rsidRPr="00240DB6" w:rsidRDefault="00240DB6" w:rsidP="00240DB6">
      <w:pPr>
        <w:autoSpaceDE w:val="0"/>
        <w:autoSpaceDN w:val="0"/>
        <w:adjustRightInd w:val="0"/>
        <w:ind w:firstLine="0"/>
        <w:jc w:val="center"/>
        <w:rPr>
          <w:b/>
          <w:bCs/>
          <w:szCs w:val="18"/>
          <w:lang w:eastAsia="el-GR"/>
        </w:rPr>
      </w:pPr>
      <w:r w:rsidRPr="00240DB6">
        <w:rPr>
          <w:b/>
          <w:bCs/>
          <w:szCs w:val="18"/>
          <w:lang w:eastAsia="el-GR"/>
        </w:rPr>
        <w:t>Σχολή Οικονομίας και Διοίκησης – Τμήμα Διοίκησης Οργανισμών</w:t>
      </w:r>
    </w:p>
    <w:p w:rsidR="00240DB6" w:rsidRPr="00240DB6" w:rsidRDefault="00240DB6" w:rsidP="00240DB6">
      <w:pPr>
        <w:autoSpaceDE w:val="0"/>
        <w:autoSpaceDN w:val="0"/>
        <w:adjustRightInd w:val="0"/>
        <w:ind w:firstLine="0"/>
        <w:jc w:val="center"/>
        <w:rPr>
          <w:b/>
          <w:bCs/>
          <w:szCs w:val="18"/>
          <w:lang w:eastAsia="el-GR"/>
        </w:rPr>
      </w:pPr>
      <w:r w:rsidRPr="00240DB6">
        <w:rPr>
          <w:b/>
          <w:bCs/>
          <w:szCs w:val="18"/>
          <w:lang w:eastAsia="el-GR"/>
        </w:rPr>
        <w:t>Μάρκετινγκ &amp; Τουρισμού</w:t>
      </w:r>
    </w:p>
    <w:p w:rsidR="00240DB6" w:rsidRPr="00240DB6" w:rsidRDefault="00240DB6" w:rsidP="00240DB6">
      <w:pPr>
        <w:autoSpaceDE w:val="0"/>
        <w:autoSpaceDN w:val="0"/>
        <w:adjustRightInd w:val="0"/>
        <w:ind w:firstLine="0"/>
        <w:jc w:val="center"/>
        <w:rPr>
          <w:b/>
          <w:bCs/>
          <w:szCs w:val="18"/>
          <w:lang w:eastAsia="el-GR"/>
        </w:rPr>
      </w:pPr>
      <w:r w:rsidRPr="00240DB6">
        <w:rPr>
          <w:b/>
          <w:bCs/>
          <w:szCs w:val="18"/>
          <w:lang w:eastAsia="el-GR"/>
        </w:rPr>
        <w:t>Σχολή Επιστημών Υγείας– Τμήμα Νοσηλευτικής</w:t>
      </w:r>
    </w:p>
    <w:p w:rsidR="00240DB6" w:rsidRPr="00240DB6" w:rsidRDefault="00240DB6" w:rsidP="00240DB6">
      <w:pPr>
        <w:autoSpaceDE w:val="0"/>
        <w:autoSpaceDN w:val="0"/>
        <w:adjustRightInd w:val="0"/>
        <w:ind w:firstLine="0"/>
        <w:jc w:val="center"/>
        <w:rPr>
          <w:b/>
          <w:bCs/>
          <w:szCs w:val="18"/>
          <w:lang w:eastAsia="el-GR"/>
        </w:rPr>
      </w:pPr>
      <w:proofErr w:type="spellStart"/>
      <w:r w:rsidRPr="00240DB6">
        <w:rPr>
          <w:b/>
          <w:bCs/>
          <w:szCs w:val="18"/>
          <w:lang w:eastAsia="el-GR"/>
        </w:rPr>
        <w:t>Διατμηματικό</w:t>
      </w:r>
      <w:proofErr w:type="spellEnd"/>
      <w:r w:rsidRPr="00240DB6">
        <w:rPr>
          <w:b/>
          <w:bCs/>
          <w:szCs w:val="18"/>
          <w:lang w:eastAsia="el-GR"/>
        </w:rPr>
        <w:t xml:space="preserve"> Πρόγραμμα Μεταπτυχιακών Σπουδών</w:t>
      </w:r>
    </w:p>
    <w:p w:rsidR="00C3056B" w:rsidRPr="00240DB6" w:rsidRDefault="00240DB6" w:rsidP="00240DB6">
      <w:pPr>
        <w:ind w:firstLine="0"/>
        <w:jc w:val="center"/>
        <w:rPr>
          <w:b/>
          <w:sz w:val="36"/>
          <w:lang w:eastAsia="el-GR"/>
        </w:rPr>
      </w:pPr>
      <w:r w:rsidRPr="00240DB6">
        <w:rPr>
          <w:b/>
          <w:bCs/>
          <w:szCs w:val="18"/>
          <w:lang w:eastAsia="el-GR"/>
        </w:rPr>
        <w:t>στη Διοίκηση Μονάδων Υγείας &amp; Πρόνοιας</w:t>
      </w:r>
    </w:p>
    <w:p w:rsidR="00C3056B" w:rsidRDefault="00C3056B" w:rsidP="00240DB6">
      <w:pPr>
        <w:ind w:firstLine="0"/>
        <w:jc w:val="center"/>
        <w:rPr>
          <w:b/>
          <w:lang w:eastAsia="el-GR"/>
        </w:rPr>
      </w:pPr>
    </w:p>
    <w:p w:rsidR="00C3056B" w:rsidRPr="004F770C" w:rsidRDefault="004F770C" w:rsidP="00C3056B">
      <w:pPr>
        <w:ind w:firstLine="0"/>
        <w:jc w:val="center"/>
        <w:rPr>
          <w:b/>
          <w:lang w:eastAsia="el-GR"/>
        </w:rPr>
      </w:pPr>
      <w:r>
        <w:rPr>
          <w:b/>
          <w:lang w:eastAsia="el-GR"/>
        </w:rPr>
        <w:t xml:space="preserve">Παρουσίαση και σύγκριση </w:t>
      </w:r>
      <w:r w:rsidR="00C44E95">
        <w:rPr>
          <w:b/>
          <w:lang w:eastAsia="el-GR"/>
        </w:rPr>
        <w:t xml:space="preserve">δεδομένων </w:t>
      </w:r>
      <w:r>
        <w:rPr>
          <w:b/>
          <w:lang w:eastAsia="el-GR"/>
        </w:rPr>
        <w:t xml:space="preserve">μεταξύ της πολλαπλής σκλήρυνσης </w:t>
      </w:r>
      <w:r w:rsidR="00C44E95">
        <w:rPr>
          <w:b/>
          <w:lang w:eastAsia="el-GR"/>
        </w:rPr>
        <w:br/>
      </w:r>
      <w:r>
        <w:rPr>
          <w:b/>
          <w:lang w:eastAsia="el-GR"/>
        </w:rPr>
        <w:t xml:space="preserve">και της οπτικής </w:t>
      </w:r>
      <w:r w:rsidR="00516ACD">
        <w:rPr>
          <w:b/>
          <w:lang w:eastAsia="el-GR"/>
        </w:rPr>
        <w:t>νευρομυελίτιδας</w:t>
      </w:r>
      <w:r>
        <w:rPr>
          <w:b/>
          <w:lang w:eastAsia="el-GR"/>
        </w:rPr>
        <w:t xml:space="preserve"> (νόσος </w:t>
      </w:r>
      <w:r>
        <w:rPr>
          <w:b/>
          <w:lang w:val="en-US" w:eastAsia="el-GR"/>
        </w:rPr>
        <w:t>Devic</w:t>
      </w:r>
      <w:r w:rsidRPr="004F770C">
        <w:rPr>
          <w:b/>
          <w:lang w:eastAsia="el-GR"/>
        </w:rPr>
        <w:t>)</w:t>
      </w:r>
    </w:p>
    <w:p w:rsidR="00C3056B" w:rsidRDefault="00C3056B" w:rsidP="00C3056B">
      <w:pPr>
        <w:ind w:firstLine="0"/>
        <w:jc w:val="center"/>
        <w:rPr>
          <w:b/>
          <w:lang w:eastAsia="el-GR"/>
        </w:rPr>
      </w:pPr>
    </w:p>
    <w:p w:rsidR="00C3056B" w:rsidRDefault="00C3056B" w:rsidP="00C3056B">
      <w:pPr>
        <w:ind w:firstLine="0"/>
        <w:jc w:val="center"/>
        <w:rPr>
          <w:b/>
          <w:lang w:eastAsia="el-GR"/>
        </w:rPr>
      </w:pPr>
      <w:r>
        <w:rPr>
          <w:b/>
          <w:lang w:eastAsia="el-GR"/>
        </w:rPr>
        <w:t>Μεταπτυχιακή Εργασία</w:t>
      </w:r>
    </w:p>
    <w:p w:rsidR="00C3056B" w:rsidRDefault="00240DB6" w:rsidP="00C3056B">
      <w:pPr>
        <w:ind w:firstLine="0"/>
        <w:jc w:val="center"/>
        <w:rPr>
          <w:b/>
          <w:lang w:eastAsia="el-GR"/>
        </w:rPr>
      </w:pPr>
      <w:r>
        <w:rPr>
          <w:b/>
          <w:lang w:eastAsia="el-GR"/>
        </w:rPr>
        <w:t xml:space="preserve">της </w:t>
      </w:r>
      <w:r w:rsidR="00C3056B">
        <w:rPr>
          <w:b/>
          <w:lang w:eastAsia="el-GR"/>
        </w:rPr>
        <w:t>ΦΑΝΗ</w:t>
      </w:r>
      <w:r>
        <w:rPr>
          <w:b/>
          <w:lang w:eastAsia="el-GR"/>
        </w:rPr>
        <w:t>Σ</w:t>
      </w:r>
      <w:r w:rsidR="00C3056B">
        <w:rPr>
          <w:b/>
          <w:lang w:eastAsia="el-GR"/>
        </w:rPr>
        <w:t xml:space="preserve"> ΤΣΙΛΙΚΑ</w:t>
      </w:r>
    </w:p>
    <w:p w:rsidR="00240DB6" w:rsidRDefault="00240DB6" w:rsidP="00C3056B">
      <w:pPr>
        <w:ind w:firstLine="0"/>
        <w:jc w:val="center"/>
        <w:rPr>
          <w:b/>
          <w:lang w:eastAsia="el-GR"/>
        </w:rPr>
      </w:pPr>
    </w:p>
    <w:p w:rsidR="00240DB6" w:rsidRDefault="00240DB6" w:rsidP="00936974">
      <w:pPr>
        <w:ind w:firstLine="0"/>
        <w:jc w:val="center"/>
        <w:rPr>
          <w:b/>
          <w:lang w:eastAsia="el-GR"/>
        </w:rPr>
      </w:pPr>
      <w:r>
        <w:rPr>
          <w:b/>
          <w:lang w:eastAsia="el-GR"/>
        </w:rPr>
        <w:t xml:space="preserve">Υπεύθυνη </w:t>
      </w:r>
      <w:r w:rsidR="00936974">
        <w:rPr>
          <w:b/>
          <w:lang w:eastAsia="el-GR"/>
        </w:rPr>
        <w:t>καθηγήτρια:</w:t>
      </w:r>
    </w:p>
    <w:p w:rsidR="00936974" w:rsidRDefault="008E427E" w:rsidP="00936974">
      <w:pPr>
        <w:ind w:firstLine="0"/>
        <w:jc w:val="center"/>
        <w:rPr>
          <w:b/>
          <w:lang w:eastAsia="el-GR"/>
        </w:rPr>
      </w:pPr>
      <w:r>
        <w:rPr>
          <w:b/>
          <w:lang w:eastAsia="el-GR"/>
        </w:rPr>
        <w:t>κα ΚΟΥΡΚΟΥΤΑ ΛΑΜΠΡΙΝΗ</w:t>
      </w:r>
    </w:p>
    <w:p w:rsidR="00240DB6" w:rsidRDefault="00240DB6" w:rsidP="00C3056B">
      <w:pPr>
        <w:ind w:firstLine="0"/>
        <w:jc w:val="center"/>
        <w:rPr>
          <w:b/>
          <w:lang w:eastAsia="el-GR"/>
        </w:rPr>
      </w:pPr>
    </w:p>
    <w:p w:rsidR="00240DB6" w:rsidRDefault="00240DB6" w:rsidP="00C3056B">
      <w:pPr>
        <w:ind w:firstLine="0"/>
        <w:jc w:val="center"/>
        <w:rPr>
          <w:b/>
          <w:lang w:eastAsia="el-GR"/>
        </w:rPr>
      </w:pPr>
    </w:p>
    <w:p w:rsidR="00240DB6" w:rsidRDefault="00240DB6" w:rsidP="00C3056B">
      <w:pPr>
        <w:ind w:firstLine="0"/>
        <w:jc w:val="center"/>
        <w:rPr>
          <w:b/>
          <w:lang w:eastAsia="el-GR"/>
        </w:rPr>
      </w:pPr>
    </w:p>
    <w:p w:rsidR="00240DB6" w:rsidRDefault="00240DB6" w:rsidP="00C3056B">
      <w:pPr>
        <w:ind w:firstLine="0"/>
        <w:jc w:val="center"/>
        <w:rPr>
          <w:b/>
          <w:lang w:eastAsia="el-GR"/>
        </w:rPr>
      </w:pPr>
    </w:p>
    <w:p w:rsidR="00240DB6" w:rsidRPr="00C3056B" w:rsidRDefault="00240DB6" w:rsidP="00C3056B">
      <w:pPr>
        <w:ind w:firstLine="0"/>
        <w:jc w:val="center"/>
        <w:rPr>
          <w:b/>
          <w:lang w:eastAsia="el-GR"/>
        </w:rPr>
      </w:pPr>
      <w:r>
        <w:rPr>
          <w:b/>
          <w:lang w:eastAsia="el-GR"/>
        </w:rPr>
        <w:t xml:space="preserve">Θεσσαλονίκη, </w:t>
      </w:r>
      <w:r w:rsidR="00C44E95">
        <w:rPr>
          <w:b/>
          <w:lang w:eastAsia="el-GR"/>
        </w:rPr>
        <w:t>Νοέμβριος</w:t>
      </w:r>
      <w:r>
        <w:rPr>
          <w:b/>
          <w:lang w:eastAsia="el-GR"/>
        </w:rPr>
        <w:t xml:space="preserve"> 2020</w:t>
      </w:r>
    </w:p>
    <w:p w:rsidR="004F770C" w:rsidRPr="00C44E95" w:rsidRDefault="00C3056B" w:rsidP="00C3056B">
      <w:pPr>
        <w:ind w:firstLine="0"/>
        <w:rPr>
          <w:b/>
          <w:lang w:eastAsia="el-GR"/>
        </w:rPr>
      </w:pPr>
      <w:r w:rsidRPr="00C44E95">
        <w:rPr>
          <w:b/>
          <w:lang w:eastAsia="el-GR"/>
        </w:rPr>
        <w:br w:type="page"/>
      </w:r>
      <w:r w:rsidR="004F770C" w:rsidRPr="00C44E95">
        <w:rPr>
          <w:b/>
          <w:lang w:eastAsia="el-GR"/>
        </w:rPr>
        <w:lastRenderedPageBreak/>
        <w:t>Υπεύθυνη δήλωση</w:t>
      </w:r>
    </w:p>
    <w:p w:rsidR="00C44E95" w:rsidRDefault="00C44E95" w:rsidP="00C3056B">
      <w:pPr>
        <w:ind w:firstLine="0"/>
        <w:rPr>
          <w:lang w:eastAsia="el-GR"/>
        </w:rPr>
      </w:pPr>
      <w:r w:rsidRPr="00C44E95">
        <w:rPr>
          <w:lang w:eastAsia="el-GR"/>
        </w:rPr>
        <w:t xml:space="preserve">Με πλήρη επίγνωση των συνεπειών του νόμου περί πνευματικών δικαιωμάτων, δηλώνω ενυπογράφως ότι είμαι αποκλειστικός συγγραφέας της παρούσας </w:t>
      </w:r>
      <w:r>
        <w:rPr>
          <w:lang w:eastAsia="el-GR"/>
        </w:rPr>
        <w:t>διπλωματικής</w:t>
      </w:r>
      <w:r w:rsidRPr="00C44E95">
        <w:rPr>
          <w:lang w:eastAsia="el-GR"/>
        </w:rPr>
        <w:t xml:space="preserve"> εργασίας, για την ολοκλήρωση της οποίας κάθε βοήθεια είναι πλήρως αναγνωρισμένη και αναφέρεται λεπτομερώς στην εργασία αυτή. Έχω αναφέρει πλήρως και με σαφείς αναφορές, όλες τις πηγές χρήσης δεδομένων, απόψεων, θέσεων και προτάσεων, ιδεών και λεκτικών αναφορών, είτε κατά κυριολεξία είτε βάσει επιστημονικής παράφρασης.</w:t>
      </w:r>
    </w:p>
    <w:p w:rsidR="00C44E95" w:rsidRDefault="00C44E95" w:rsidP="00C3056B">
      <w:pPr>
        <w:ind w:firstLine="0"/>
        <w:rPr>
          <w:lang w:eastAsia="el-GR"/>
        </w:rPr>
      </w:pPr>
    </w:p>
    <w:p w:rsidR="00C3056B" w:rsidRPr="00240DB6" w:rsidRDefault="00C44E95" w:rsidP="00C3056B">
      <w:pPr>
        <w:ind w:firstLine="0"/>
        <w:rPr>
          <w:b/>
          <w:caps/>
          <w:lang w:eastAsia="el-GR"/>
        </w:rPr>
      </w:pPr>
      <w:r w:rsidRPr="00C44E95">
        <w:rPr>
          <w:lang w:eastAsia="el-GR"/>
        </w:rPr>
        <w:t xml:space="preserve"> </w:t>
      </w:r>
      <w:r w:rsidR="004F770C">
        <w:rPr>
          <w:lang w:eastAsia="el-GR"/>
        </w:rPr>
        <w:br w:type="page"/>
      </w:r>
      <w:r w:rsidR="00C3056B" w:rsidRPr="00240DB6">
        <w:rPr>
          <w:b/>
          <w:caps/>
          <w:lang w:eastAsia="el-GR"/>
        </w:rPr>
        <w:lastRenderedPageBreak/>
        <w:t>Περιεχόμενα</w:t>
      </w:r>
    </w:p>
    <w:p w:rsidR="001D65A9" w:rsidRDefault="00C3056B">
      <w:pPr>
        <w:pStyle w:val="10"/>
        <w:tabs>
          <w:tab w:val="right" w:leader="dot" w:pos="9060"/>
        </w:tabs>
        <w:rPr>
          <w:rFonts w:ascii="Calibri" w:eastAsia="Times New Roman" w:hAnsi="Calibri"/>
          <w:noProof/>
          <w:sz w:val="22"/>
          <w:lang w:eastAsia="el-GR"/>
        </w:rPr>
      </w:pPr>
      <w:r>
        <w:rPr>
          <w:b/>
          <w:lang w:eastAsia="el-GR"/>
        </w:rPr>
        <w:fldChar w:fldCharType="begin"/>
      </w:r>
      <w:r>
        <w:rPr>
          <w:b/>
          <w:lang w:eastAsia="el-GR"/>
        </w:rPr>
        <w:instrText xml:space="preserve"> TOC \o "1-4" \h \z \u </w:instrText>
      </w:r>
      <w:r>
        <w:rPr>
          <w:b/>
          <w:lang w:eastAsia="el-GR"/>
        </w:rPr>
        <w:fldChar w:fldCharType="separate"/>
      </w:r>
      <w:hyperlink w:anchor="_Toc57241606" w:history="1">
        <w:r w:rsidR="001D65A9" w:rsidRPr="00681E5D">
          <w:rPr>
            <w:rStyle w:val="-"/>
            <w:noProof/>
            <w:lang w:eastAsia="el-GR"/>
          </w:rPr>
          <w:t>ΠΕΡΙΛΗΨΗ</w:t>
        </w:r>
        <w:r w:rsidR="001D65A9">
          <w:rPr>
            <w:noProof/>
            <w:webHidden/>
          </w:rPr>
          <w:tab/>
        </w:r>
        <w:r w:rsidR="001D65A9">
          <w:rPr>
            <w:noProof/>
            <w:webHidden/>
          </w:rPr>
          <w:fldChar w:fldCharType="begin"/>
        </w:r>
        <w:r w:rsidR="001D65A9">
          <w:rPr>
            <w:noProof/>
            <w:webHidden/>
          </w:rPr>
          <w:instrText xml:space="preserve"> PAGEREF _Toc57241606 \h </w:instrText>
        </w:r>
        <w:r w:rsidR="001D65A9">
          <w:rPr>
            <w:noProof/>
            <w:webHidden/>
          </w:rPr>
        </w:r>
        <w:r w:rsidR="001D65A9">
          <w:rPr>
            <w:noProof/>
            <w:webHidden/>
          </w:rPr>
          <w:fldChar w:fldCharType="separate"/>
        </w:r>
        <w:r w:rsidR="001D65A9">
          <w:rPr>
            <w:noProof/>
            <w:webHidden/>
          </w:rPr>
          <w:t>6</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07" w:history="1">
        <w:r w:rsidR="001D65A9" w:rsidRPr="00681E5D">
          <w:rPr>
            <w:rStyle w:val="-"/>
            <w:noProof/>
            <w:lang w:val="en-US" w:eastAsia="el-GR"/>
          </w:rPr>
          <w:t>ABSTRACT</w:t>
        </w:r>
        <w:r w:rsidR="001D65A9">
          <w:rPr>
            <w:noProof/>
            <w:webHidden/>
          </w:rPr>
          <w:tab/>
        </w:r>
        <w:r w:rsidR="001D65A9">
          <w:rPr>
            <w:noProof/>
            <w:webHidden/>
          </w:rPr>
          <w:fldChar w:fldCharType="begin"/>
        </w:r>
        <w:r w:rsidR="001D65A9">
          <w:rPr>
            <w:noProof/>
            <w:webHidden/>
          </w:rPr>
          <w:instrText xml:space="preserve"> PAGEREF _Toc57241607 \h </w:instrText>
        </w:r>
        <w:r w:rsidR="001D65A9">
          <w:rPr>
            <w:noProof/>
            <w:webHidden/>
          </w:rPr>
        </w:r>
        <w:r w:rsidR="001D65A9">
          <w:rPr>
            <w:noProof/>
            <w:webHidden/>
          </w:rPr>
          <w:fldChar w:fldCharType="separate"/>
        </w:r>
        <w:r w:rsidR="001D65A9">
          <w:rPr>
            <w:noProof/>
            <w:webHidden/>
          </w:rPr>
          <w:t>7</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08" w:history="1">
        <w:r w:rsidR="001D65A9" w:rsidRPr="00681E5D">
          <w:rPr>
            <w:rStyle w:val="-"/>
            <w:noProof/>
            <w:lang w:val="en-US" w:eastAsia="el-GR"/>
          </w:rPr>
          <w:t>ABSTRACT</w:t>
        </w:r>
        <w:r w:rsidR="001D65A9">
          <w:rPr>
            <w:noProof/>
            <w:webHidden/>
          </w:rPr>
          <w:tab/>
        </w:r>
        <w:r w:rsidR="001D65A9">
          <w:rPr>
            <w:noProof/>
            <w:webHidden/>
          </w:rPr>
          <w:fldChar w:fldCharType="begin"/>
        </w:r>
        <w:r w:rsidR="001D65A9">
          <w:rPr>
            <w:noProof/>
            <w:webHidden/>
          </w:rPr>
          <w:instrText xml:space="preserve"> PAGEREF _Toc57241608 \h </w:instrText>
        </w:r>
        <w:r w:rsidR="001D65A9">
          <w:rPr>
            <w:noProof/>
            <w:webHidden/>
          </w:rPr>
        </w:r>
        <w:r w:rsidR="001D65A9">
          <w:rPr>
            <w:noProof/>
            <w:webHidden/>
          </w:rPr>
          <w:fldChar w:fldCharType="separate"/>
        </w:r>
        <w:r w:rsidR="001D65A9">
          <w:rPr>
            <w:noProof/>
            <w:webHidden/>
          </w:rPr>
          <w:t>7</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09" w:history="1">
        <w:r w:rsidR="001D65A9" w:rsidRPr="00681E5D">
          <w:rPr>
            <w:rStyle w:val="-"/>
            <w:noProof/>
            <w:lang w:eastAsia="el-GR"/>
          </w:rPr>
          <w:t>ΕΙΣΑΓΩΓΗ</w:t>
        </w:r>
        <w:r w:rsidR="001D65A9">
          <w:rPr>
            <w:noProof/>
            <w:webHidden/>
          </w:rPr>
          <w:tab/>
        </w:r>
        <w:r w:rsidR="001D65A9">
          <w:rPr>
            <w:noProof/>
            <w:webHidden/>
          </w:rPr>
          <w:fldChar w:fldCharType="begin"/>
        </w:r>
        <w:r w:rsidR="001D65A9">
          <w:rPr>
            <w:noProof/>
            <w:webHidden/>
          </w:rPr>
          <w:instrText xml:space="preserve"> PAGEREF _Toc57241609 \h </w:instrText>
        </w:r>
        <w:r w:rsidR="001D65A9">
          <w:rPr>
            <w:noProof/>
            <w:webHidden/>
          </w:rPr>
        </w:r>
        <w:r w:rsidR="001D65A9">
          <w:rPr>
            <w:noProof/>
            <w:webHidden/>
          </w:rPr>
          <w:fldChar w:fldCharType="separate"/>
        </w:r>
        <w:r w:rsidR="001D65A9">
          <w:rPr>
            <w:noProof/>
            <w:webHidden/>
          </w:rPr>
          <w:t>8</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10" w:history="1">
        <w:r w:rsidR="001D65A9" w:rsidRPr="00681E5D">
          <w:rPr>
            <w:rStyle w:val="-"/>
            <w:noProof/>
            <w:lang w:eastAsia="el-GR"/>
          </w:rPr>
          <w:t>ΚΕΦΑΛΑΙΟ 1</w:t>
        </w:r>
        <w:r w:rsidR="001D65A9" w:rsidRPr="00681E5D">
          <w:rPr>
            <w:rStyle w:val="-"/>
            <w:noProof/>
            <w:vertAlign w:val="superscript"/>
            <w:lang w:eastAsia="el-GR"/>
          </w:rPr>
          <w:t>ο</w:t>
        </w:r>
        <w:r w:rsidR="001D65A9" w:rsidRPr="00681E5D">
          <w:rPr>
            <w:rStyle w:val="-"/>
            <w:noProof/>
            <w:lang w:eastAsia="el-GR"/>
          </w:rPr>
          <w:t>: ΝΕΥΡΙΚΟ ΣΥΣΤΗΜΑ</w:t>
        </w:r>
        <w:r w:rsidR="001D65A9">
          <w:rPr>
            <w:noProof/>
            <w:webHidden/>
          </w:rPr>
          <w:tab/>
        </w:r>
        <w:r w:rsidR="001D65A9">
          <w:rPr>
            <w:noProof/>
            <w:webHidden/>
          </w:rPr>
          <w:fldChar w:fldCharType="begin"/>
        </w:r>
        <w:r w:rsidR="001D65A9">
          <w:rPr>
            <w:noProof/>
            <w:webHidden/>
          </w:rPr>
          <w:instrText xml:space="preserve"> PAGEREF _Toc57241610 \h </w:instrText>
        </w:r>
        <w:r w:rsidR="001D65A9">
          <w:rPr>
            <w:noProof/>
            <w:webHidden/>
          </w:rPr>
        </w:r>
        <w:r w:rsidR="001D65A9">
          <w:rPr>
            <w:noProof/>
            <w:webHidden/>
          </w:rPr>
          <w:fldChar w:fldCharType="separate"/>
        </w:r>
        <w:r w:rsidR="001D65A9">
          <w:rPr>
            <w:noProof/>
            <w:webHidden/>
          </w:rPr>
          <w:t>11</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11" w:history="1">
        <w:r w:rsidR="001D65A9" w:rsidRPr="00681E5D">
          <w:rPr>
            <w:rStyle w:val="-"/>
            <w:noProof/>
          </w:rPr>
          <w:t>1.1 Ανατομία νευρικού συστήματος</w:t>
        </w:r>
        <w:r w:rsidR="001D65A9">
          <w:rPr>
            <w:noProof/>
            <w:webHidden/>
          </w:rPr>
          <w:tab/>
        </w:r>
        <w:r w:rsidR="001D65A9">
          <w:rPr>
            <w:noProof/>
            <w:webHidden/>
          </w:rPr>
          <w:fldChar w:fldCharType="begin"/>
        </w:r>
        <w:r w:rsidR="001D65A9">
          <w:rPr>
            <w:noProof/>
            <w:webHidden/>
          </w:rPr>
          <w:instrText xml:space="preserve"> PAGEREF _Toc57241611 \h </w:instrText>
        </w:r>
        <w:r w:rsidR="001D65A9">
          <w:rPr>
            <w:noProof/>
            <w:webHidden/>
          </w:rPr>
        </w:r>
        <w:r w:rsidR="001D65A9">
          <w:rPr>
            <w:noProof/>
            <w:webHidden/>
          </w:rPr>
          <w:fldChar w:fldCharType="separate"/>
        </w:r>
        <w:r w:rsidR="001D65A9">
          <w:rPr>
            <w:noProof/>
            <w:webHidden/>
          </w:rPr>
          <w:t>11</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12" w:history="1">
        <w:r w:rsidR="001D65A9" w:rsidRPr="00681E5D">
          <w:rPr>
            <w:rStyle w:val="-"/>
            <w:noProof/>
            <w:lang w:eastAsia="el-GR"/>
          </w:rPr>
          <w:t>1.1.1 Εγκέφαλος</w:t>
        </w:r>
        <w:r w:rsidR="001D65A9">
          <w:rPr>
            <w:noProof/>
            <w:webHidden/>
          </w:rPr>
          <w:tab/>
        </w:r>
        <w:r w:rsidR="001D65A9">
          <w:rPr>
            <w:noProof/>
            <w:webHidden/>
          </w:rPr>
          <w:fldChar w:fldCharType="begin"/>
        </w:r>
        <w:r w:rsidR="001D65A9">
          <w:rPr>
            <w:noProof/>
            <w:webHidden/>
          </w:rPr>
          <w:instrText xml:space="preserve"> PAGEREF _Toc57241612 \h </w:instrText>
        </w:r>
        <w:r w:rsidR="001D65A9">
          <w:rPr>
            <w:noProof/>
            <w:webHidden/>
          </w:rPr>
        </w:r>
        <w:r w:rsidR="001D65A9">
          <w:rPr>
            <w:noProof/>
            <w:webHidden/>
          </w:rPr>
          <w:fldChar w:fldCharType="separate"/>
        </w:r>
        <w:r w:rsidR="001D65A9">
          <w:rPr>
            <w:noProof/>
            <w:webHidden/>
          </w:rPr>
          <w:t>13</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13" w:history="1">
        <w:r w:rsidR="001D65A9" w:rsidRPr="00681E5D">
          <w:rPr>
            <w:rStyle w:val="-"/>
            <w:noProof/>
            <w:lang w:eastAsia="el-GR"/>
          </w:rPr>
          <w:t>1.1.2 Νωτιαίος μυελός</w:t>
        </w:r>
        <w:r w:rsidR="001D65A9">
          <w:rPr>
            <w:noProof/>
            <w:webHidden/>
          </w:rPr>
          <w:tab/>
        </w:r>
        <w:r w:rsidR="001D65A9">
          <w:rPr>
            <w:noProof/>
            <w:webHidden/>
          </w:rPr>
          <w:fldChar w:fldCharType="begin"/>
        </w:r>
        <w:r w:rsidR="001D65A9">
          <w:rPr>
            <w:noProof/>
            <w:webHidden/>
          </w:rPr>
          <w:instrText xml:space="preserve"> PAGEREF _Toc57241613 \h </w:instrText>
        </w:r>
        <w:r w:rsidR="001D65A9">
          <w:rPr>
            <w:noProof/>
            <w:webHidden/>
          </w:rPr>
        </w:r>
        <w:r w:rsidR="001D65A9">
          <w:rPr>
            <w:noProof/>
            <w:webHidden/>
          </w:rPr>
          <w:fldChar w:fldCharType="separate"/>
        </w:r>
        <w:r w:rsidR="001D65A9">
          <w:rPr>
            <w:noProof/>
            <w:webHidden/>
          </w:rPr>
          <w:t>14</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14" w:history="1">
        <w:r w:rsidR="001D65A9" w:rsidRPr="00681E5D">
          <w:rPr>
            <w:rStyle w:val="-"/>
            <w:noProof/>
            <w:lang w:eastAsia="el-GR"/>
          </w:rPr>
          <w:t>1.1.3 Νευρώνες</w:t>
        </w:r>
        <w:r w:rsidR="001D65A9">
          <w:rPr>
            <w:noProof/>
            <w:webHidden/>
          </w:rPr>
          <w:tab/>
        </w:r>
        <w:r w:rsidR="001D65A9">
          <w:rPr>
            <w:noProof/>
            <w:webHidden/>
          </w:rPr>
          <w:fldChar w:fldCharType="begin"/>
        </w:r>
        <w:r w:rsidR="001D65A9">
          <w:rPr>
            <w:noProof/>
            <w:webHidden/>
          </w:rPr>
          <w:instrText xml:space="preserve"> PAGEREF _Toc57241614 \h </w:instrText>
        </w:r>
        <w:r w:rsidR="001D65A9">
          <w:rPr>
            <w:noProof/>
            <w:webHidden/>
          </w:rPr>
        </w:r>
        <w:r w:rsidR="001D65A9">
          <w:rPr>
            <w:noProof/>
            <w:webHidden/>
          </w:rPr>
          <w:fldChar w:fldCharType="separate"/>
        </w:r>
        <w:r w:rsidR="001D65A9">
          <w:rPr>
            <w:noProof/>
            <w:webHidden/>
          </w:rPr>
          <w:t>14</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15" w:history="1">
        <w:r w:rsidR="001D65A9" w:rsidRPr="00681E5D">
          <w:rPr>
            <w:rStyle w:val="-"/>
            <w:noProof/>
          </w:rPr>
          <w:t>1.2 Φυσιολογία νευρικού συστήματος</w:t>
        </w:r>
        <w:r w:rsidR="001D65A9">
          <w:rPr>
            <w:noProof/>
            <w:webHidden/>
          </w:rPr>
          <w:tab/>
        </w:r>
        <w:r w:rsidR="001D65A9">
          <w:rPr>
            <w:noProof/>
            <w:webHidden/>
          </w:rPr>
          <w:fldChar w:fldCharType="begin"/>
        </w:r>
        <w:r w:rsidR="001D65A9">
          <w:rPr>
            <w:noProof/>
            <w:webHidden/>
          </w:rPr>
          <w:instrText xml:space="preserve"> PAGEREF _Toc57241615 \h </w:instrText>
        </w:r>
        <w:r w:rsidR="001D65A9">
          <w:rPr>
            <w:noProof/>
            <w:webHidden/>
          </w:rPr>
        </w:r>
        <w:r w:rsidR="001D65A9">
          <w:rPr>
            <w:noProof/>
            <w:webHidden/>
          </w:rPr>
          <w:fldChar w:fldCharType="separate"/>
        </w:r>
        <w:r w:rsidR="001D65A9">
          <w:rPr>
            <w:noProof/>
            <w:webHidden/>
          </w:rPr>
          <w:t>15</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16" w:history="1">
        <w:r w:rsidR="001D65A9" w:rsidRPr="00681E5D">
          <w:rPr>
            <w:rStyle w:val="-"/>
            <w:noProof/>
          </w:rPr>
          <w:t>1.3 Απομυελινωτικά νοσήματα</w:t>
        </w:r>
        <w:r w:rsidR="001D65A9">
          <w:rPr>
            <w:noProof/>
            <w:webHidden/>
          </w:rPr>
          <w:tab/>
        </w:r>
        <w:r w:rsidR="001D65A9">
          <w:rPr>
            <w:noProof/>
            <w:webHidden/>
          </w:rPr>
          <w:fldChar w:fldCharType="begin"/>
        </w:r>
        <w:r w:rsidR="001D65A9">
          <w:rPr>
            <w:noProof/>
            <w:webHidden/>
          </w:rPr>
          <w:instrText xml:space="preserve"> PAGEREF _Toc57241616 \h </w:instrText>
        </w:r>
        <w:r w:rsidR="001D65A9">
          <w:rPr>
            <w:noProof/>
            <w:webHidden/>
          </w:rPr>
        </w:r>
        <w:r w:rsidR="001D65A9">
          <w:rPr>
            <w:noProof/>
            <w:webHidden/>
          </w:rPr>
          <w:fldChar w:fldCharType="separate"/>
        </w:r>
        <w:r w:rsidR="001D65A9">
          <w:rPr>
            <w:noProof/>
            <w:webHidden/>
          </w:rPr>
          <w:t>17</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17" w:history="1">
        <w:r w:rsidR="001D65A9" w:rsidRPr="00681E5D">
          <w:rPr>
            <w:rStyle w:val="-"/>
            <w:noProof/>
            <w:lang w:eastAsia="el-GR"/>
          </w:rPr>
          <w:t>ΚΕΦΑΛΑΙΟ 2</w:t>
        </w:r>
        <w:r w:rsidR="001D65A9" w:rsidRPr="00681E5D">
          <w:rPr>
            <w:rStyle w:val="-"/>
            <w:noProof/>
            <w:vertAlign w:val="superscript"/>
            <w:lang w:eastAsia="el-GR"/>
          </w:rPr>
          <w:t>ο</w:t>
        </w:r>
        <w:r w:rsidR="001D65A9" w:rsidRPr="00681E5D">
          <w:rPr>
            <w:rStyle w:val="-"/>
            <w:noProof/>
            <w:lang w:eastAsia="el-GR"/>
          </w:rPr>
          <w:t>: ΣΚΛΗΡΥΝΣΗ ΚΑΤΑ ΠΛΑΚΑΣ</w:t>
        </w:r>
        <w:r w:rsidR="001D65A9">
          <w:rPr>
            <w:noProof/>
            <w:webHidden/>
          </w:rPr>
          <w:tab/>
        </w:r>
        <w:r w:rsidR="001D65A9">
          <w:rPr>
            <w:noProof/>
            <w:webHidden/>
          </w:rPr>
          <w:fldChar w:fldCharType="begin"/>
        </w:r>
        <w:r w:rsidR="001D65A9">
          <w:rPr>
            <w:noProof/>
            <w:webHidden/>
          </w:rPr>
          <w:instrText xml:space="preserve"> PAGEREF _Toc57241617 \h </w:instrText>
        </w:r>
        <w:r w:rsidR="001D65A9">
          <w:rPr>
            <w:noProof/>
            <w:webHidden/>
          </w:rPr>
        </w:r>
        <w:r w:rsidR="001D65A9">
          <w:rPr>
            <w:noProof/>
            <w:webHidden/>
          </w:rPr>
          <w:fldChar w:fldCharType="separate"/>
        </w:r>
        <w:r w:rsidR="001D65A9">
          <w:rPr>
            <w:noProof/>
            <w:webHidden/>
          </w:rPr>
          <w:t>19</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18" w:history="1">
        <w:r w:rsidR="001D65A9" w:rsidRPr="00681E5D">
          <w:rPr>
            <w:rStyle w:val="-"/>
            <w:noProof/>
            <w:lang w:eastAsia="el-GR"/>
          </w:rPr>
          <w:t>2.1 Αιτίες και παθογένεια</w:t>
        </w:r>
        <w:r w:rsidR="001D65A9">
          <w:rPr>
            <w:noProof/>
            <w:webHidden/>
          </w:rPr>
          <w:tab/>
        </w:r>
        <w:r w:rsidR="001D65A9">
          <w:rPr>
            <w:noProof/>
            <w:webHidden/>
          </w:rPr>
          <w:fldChar w:fldCharType="begin"/>
        </w:r>
        <w:r w:rsidR="001D65A9">
          <w:rPr>
            <w:noProof/>
            <w:webHidden/>
          </w:rPr>
          <w:instrText xml:space="preserve"> PAGEREF _Toc57241618 \h </w:instrText>
        </w:r>
        <w:r w:rsidR="001D65A9">
          <w:rPr>
            <w:noProof/>
            <w:webHidden/>
          </w:rPr>
        </w:r>
        <w:r w:rsidR="001D65A9">
          <w:rPr>
            <w:noProof/>
            <w:webHidden/>
          </w:rPr>
          <w:fldChar w:fldCharType="separate"/>
        </w:r>
        <w:r w:rsidR="001D65A9">
          <w:rPr>
            <w:noProof/>
            <w:webHidden/>
          </w:rPr>
          <w:t>20</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19" w:history="1">
        <w:r w:rsidR="001D65A9" w:rsidRPr="00681E5D">
          <w:rPr>
            <w:rStyle w:val="-"/>
            <w:noProof/>
            <w:lang w:eastAsia="el-GR"/>
          </w:rPr>
          <w:t xml:space="preserve">2.1.1 </w:t>
        </w:r>
        <w:r w:rsidR="001D65A9" w:rsidRPr="00681E5D">
          <w:rPr>
            <w:rStyle w:val="-"/>
            <w:noProof/>
          </w:rPr>
          <w:t>Ανοσολογικοί Παράγοντες</w:t>
        </w:r>
        <w:r w:rsidR="001D65A9">
          <w:rPr>
            <w:noProof/>
            <w:webHidden/>
          </w:rPr>
          <w:tab/>
        </w:r>
        <w:r w:rsidR="001D65A9">
          <w:rPr>
            <w:noProof/>
            <w:webHidden/>
          </w:rPr>
          <w:fldChar w:fldCharType="begin"/>
        </w:r>
        <w:r w:rsidR="001D65A9">
          <w:rPr>
            <w:noProof/>
            <w:webHidden/>
          </w:rPr>
          <w:instrText xml:space="preserve"> PAGEREF _Toc57241619 \h </w:instrText>
        </w:r>
        <w:r w:rsidR="001D65A9">
          <w:rPr>
            <w:noProof/>
            <w:webHidden/>
          </w:rPr>
        </w:r>
        <w:r w:rsidR="001D65A9">
          <w:rPr>
            <w:noProof/>
            <w:webHidden/>
          </w:rPr>
          <w:fldChar w:fldCharType="separate"/>
        </w:r>
        <w:r w:rsidR="001D65A9">
          <w:rPr>
            <w:noProof/>
            <w:webHidden/>
          </w:rPr>
          <w:t>21</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20" w:history="1">
        <w:r w:rsidR="001D65A9" w:rsidRPr="00681E5D">
          <w:rPr>
            <w:rStyle w:val="-"/>
            <w:noProof/>
          </w:rPr>
          <w:t>2.1.2 Περιβαλλοντολογικοί Παράγοντες</w:t>
        </w:r>
        <w:r w:rsidR="001D65A9">
          <w:rPr>
            <w:noProof/>
            <w:webHidden/>
          </w:rPr>
          <w:tab/>
        </w:r>
        <w:r w:rsidR="001D65A9">
          <w:rPr>
            <w:noProof/>
            <w:webHidden/>
          </w:rPr>
          <w:fldChar w:fldCharType="begin"/>
        </w:r>
        <w:r w:rsidR="001D65A9">
          <w:rPr>
            <w:noProof/>
            <w:webHidden/>
          </w:rPr>
          <w:instrText xml:space="preserve"> PAGEREF _Toc57241620 \h </w:instrText>
        </w:r>
        <w:r w:rsidR="001D65A9">
          <w:rPr>
            <w:noProof/>
            <w:webHidden/>
          </w:rPr>
        </w:r>
        <w:r w:rsidR="001D65A9">
          <w:rPr>
            <w:noProof/>
            <w:webHidden/>
          </w:rPr>
          <w:fldChar w:fldCharType="separate"/>
        </w:r>
        <w:r w:rsidR="001D65A9">
          <w:rPr>
            <w:noProof/>
            <w:webHidden/>
          </w:rPr>
          <w:t>22</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21" w:history="1">
        <w:r w:rsidR="001D65A9" w:rsidRPr="00681E5D">
          <w:rPr>
            <w:rStyle w:val="-"/>
            <w:noProof/>
          </w:rPr>
          <w:t>2.1.3 Μολυσματικοί Παράγοντες</w:t>
        </w:r>
        <w:r w:rsidR="001D65A9">
          <w:rPr>
            <w:noProof/>
            <w:webHidden/>
          </w:rPr>
          <w:tab/>
        </w:r>
        <w:r w:rsidR="001D65A9">
          <w:rPr>
            <w:noProof/>
            <w:webHidden/>
          </w:rPr>
          <w:fldChar w:fldCharType="begin"/>
        </w:r>
        <w:r w:rsidR="001D65A9">
          <w:rPr>
            <w:noProof/>
            <w:webHidden/>
          </w:rPr>
          <w:instrText xml:space="preserve"> PAGEREF _Toc57241621 \h </w:instrText>
        </w:r>
        <w:r w:rsidR="001D65A9">
          <w:rPr>
            <w:noProof/>
            <w:webHidden/>
          </w:rPr>
        </w:r>
        <w:r w:rsidR="001D65A9">
          <w:rPr>
            <w:noProof/>
            <w:webHidden/>
          </w:rPr>
          <w:fldChar w:fldCharType="separate"/>
        </w:r>
        <w:r w:rsidR="001D65A9">
          <w:rPr>
            <w:noProof/>
            <w:webHidden/>
          </w:rPr>
          <w:t>22</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22" w:history="1">
        <w:r w:rsidR="001D65A9" w:rsidRPr="00681E5D">
          <w:rPr>
            <w:rStyle w:val="-"/>
            <w:noProof/>
          </w:rPr>
          <w:t>2.1.4 Γενετικοί Παράγοντες</w:t>
        </w:r>
        <w:r w:rsidR="001D65A9">
          <w:rPr>
            <w:noProof/>
            <w:webHidden/>
          </w:rPr>
          <w:tab/>
        </w:r>
        <w:r w:rsidR="001D65A9">
          <w:rPr>
            <w:noProof/>
            <w:webHidden/>
          </w:rPr>
          <w:fldChar w:fldCharType="begin"/>
        </w:r>
        <w:r w:rsidR="001D65A9">
          <w:rPr>
            <w:noProof/>
            <w:webHidden/>
          </w:rPr>
          <w:instrText xml:space="preserve"> PAGEREF _Toc57241622 \h </w:instrText>
        </w:r>
        <w:r w:rsidR="001D65A9">
          <w:rPr>
            <w:noProof/>
            <w:webHidden/>
          </w:rPr>
        </w:r>
        <w:r w:rsidR="001D65A9">
          <w:rPr>
            <w:noProof/>
            <w:webHidden/>
          </w:rPr>
          <w:fldChar w:fldCharType="separate"/>
        </w:r>
        <w:r w:rsidR="001D65A9">
          <w:rPr>
            <w:noProof/>
            <w:webHidden/>
          </w:rPr>
          <w:t>23</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23" w:history="1">
        <w:r w:rsidR="001D65A9" w:rsidRPr="00681E5D">
          <w:rPr>
            <w:rStyle w:val="-"/>
            <w:noProof/>
            <w:lang w:eastAsia="el-GR"/>
          </w:rPr>
          <w:t>2.2 Μορφές της νόσου</w:t>
        </w:r>
        <w:r w:rsidR="001D65A9">
          <w:rPr>
            <w:noProof/>
            <w:webHidden/>
          </w:rPr>
          <w:tab/>
        </w:r>
        <w:r w:rsidR="001D65A9">
          <w:rPr>
            <w:noProof/>
            <w:webHidden/>
          </w:rPr>
          <w:fldChar w:fldCharType="begin"/>
        </w:r>
        <w:r w:rsidR="001D65A9">
          <w:rPr>
            <w:noProof/>
            <w:webHidden/>
          </w:rPr>
          <w:instrText xml:space="preserve"> PAGEREF _Toc57241623 \h </w:instrText>
        </w:r>
        <w:r w:rsidR="001D65A9">
          <w:rPr>
            <w:noProof/>
            <w:webHidden/>
          </w:rPr>
        </w:r>
        <w:r w:rsidR="001D65A9">
          <w:rPr>
            <w:noProof/>
            <w:webHidden/>
          </w:rPr>
          <w:fldChar w:fldCharType="separate"/>
        </w:r>
        <w:r w:rsidR="001D65A9">
          <w:rPr>
            <w:noProof/>
            <w:webHidden/>
          </w:rPr>
          <w:t>24</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24" w:history="1">
        <w:r w:rsidR="001D65A9" w:rsidRPr="00681E5D">
          <w:rPr>
            <w:rStyle w:val="-"/>
            <w:noProof/>
            <w:lang w:eastAsia="el-GR"/>
          </w:rPr>
          <w:t>2.3 Πορεία και πρόγνωση</w:t>
        </w:r>
        <w:r w:rsidR="001D65A9">
          <w:rPr>
            <w:noProof/>
            <w:webHidden/>
          </w:rPr>
          <w:tab/>
        </w:r>
        <w:r w:rsidR="001D65A9">
          <w:rPr>
            <w:noProof/>
            <w:webHidden/>
          </w:rPr>
          <w:fldChar w:fldCharType="begin"/>
        </w:r>
        <w:r w:rsidR="001D65A9">
          <w:rPr>
            <w:noProof/>
            <w:webHidden/>
          </w:rPr>
          <w:instrText xml:space="preserve"> PAGEREF _Toc57241624 \h </w:instrText>
        </w:r>
        <w:r w:rsidR="001D65A9">
          <w:rPr>
            <w:noProof/>
            <w:webHidden/>
          </w:rPr>
        </w:r>
        <w:r w:rsidR="001D65A9">
          <w:rPr>
            <w:noProof/>
            <w:webHidden/>
          </w:rPr>
          <w:fldChar w:fldCharType="separate"/>
        </w:r>
        <w:r w:rsidR="001D65A9">
          <w:rPr>
            <w:noProof/>
            <w:webHidden/>
          </w:rPr>
          <w:t>28</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25" w:history="1">
        <w:r w:rsidR="001D65A9" w:rsidRPr="00681E5D">
          <w:rPr>
            <w:rStyle w:val="-"/>
            <w:noProof/>
            <w:lang w:eastAsia="el-GR"/>
          </w:rPr>
          <w:t>2.4 Διάγνωση και διαφορική διάγνωση</w:t>
        </w:r>
        <w:r w:rsidR="001D65A9">
          <w:rPr>
            <w:noProof/>
            <w:webHidden/>
          </w:rPr>
          <w:tab/>
        </w:r>
        <w:r w:rsidR="001D65A9">
          <w:rPr>
            <w:noProof/>
            <w:webHidden/>
          </w:rPr>
          <w:fldChar w:fldCharType="begin"/>
        </w:r>
        <w:r w:rsidR="001D65A9">
          <w:rPr>
            <w:noProof/>
            <w:webHidden/>
          </w:rPr>
          <w:instrText xml:space="preserve"> PAGEREF _Toc57241625 \h </w:instrText>
        </w:r>
        <w:r w:rsidR="001D65A9">
          <w:rPr>
            <w:noProof/>
            <w:webHidden/>
          </w:rPr>
        </w:r>
        <w:r w:rsidR="001D65A9">
          <w:rPr>
            <w:noProof/>
            <w:webHidden/>
          </w:rPr>
          <w:fldChar w:fldCharType="separate"/>
        </w:r>
        <w:r w:rsidR="001D65A9">
          <w:rPr>
            <w:noProof/>
            <w:webHidden/>
          </w:rPr>
          <w:t>29</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26" w:history="1">
        <w:r w:rsidR="001D65A9" w:rsidRPr="00681E5D">
          <w:rPr>
            <w:rStyle w:val="-"/>
            <w:noProof/>
            <w:lang w:eastAsia="el-GR"/>
          </w:rPr>
          <w:t>2.5 Είδη και τύποι</w:t>
        </w:r>
        <w:r w:rsidR="001D65A9">
          <w:rPr>
            <w:noProof/>
            <w:webHidden/>
          </w:rPr>
          <w:tab/>
        </w:r>
        <w:r w:rsidR="001D65A9">
          <w:rPr>
            <w:noProof/>
            <w:webHidden/>
          </w:rPr>
          <w:fldChar w:fldCharType="begin"/>
        </w:r>
        <w:r w:rsidR="001D65A9">
          <w:rPr>
            <w:noProof/>
            <w:webHidden/>
          </w:rPr>
          <w:instrText xml:space="preserve"> PAGEREF _Toc57241626 \h </w:instrText>
        </w:r>
        <w:r w:rsidR="001D65A9">
          <w:rPr>
            <w:noProof/>
            <w:webHidden/>
          </w:rPr>
        </w:r>
        <w:r w:rsidR="001D65A9">
          <w:rPr>
            <w:noProof/>
            <w:webHidden/>
          </w:rPr>
          <w:fldChar w:fldCharType="separate"/>
        </w:r>
        <w:r w:rsidR="001D65A9">
          <w:rPr>
            <w:noProof/>
            <w:webHidden/>
          </w:rPr>
          <w:t>31</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27" w:history="1">
        <w:r w:rsidR="001D65A9" w:rsidRPr="00681E5D">
          <w:rPr>
            <w:rStyle w:val="-"/>
            <w:noProof/>
            <w:lang w:eastAsia="el-GR"/>
          </w:rPr>
          <w:t xml:space="preserve">2.5.1 </w:t>
        </w:r>
        <w:r w:rsidR="001D65A9" w:rsidRPr="00681E5D">
          <w:rPr>
            <w:rStyle w:val="-"/>
            <w:noProof/>
          </w:rPr>
          <w:t xml:space="preserve">Υποτροπιάζουσα Διαλείπουσα Μορφή (Relapsing remitting MS- </w:t>
        </w:r>
        <w:r w:rsidR="001D65A9" w:rsidRPr="00681E5D">
          <w:rPr>
            <w:rStyle w:val="-"/>
            <w:noProof/>
            <w:lang w:val="en-US"/>
          </w:rPr>
          <w:t>RRMS</w:t>
        </w:r>
        <w:r w:rsidR="001D65A9" w:rsidRPr="00681E5D">
          <w:rPr>
            <w:rStyle w:val="-"/>
            <w:noProof/>
          </w:rPr>
          <w:t>)</w:t>
        </w:r>
        <w:r w:rsidR="001D65A9">
          <w:rPr>
            <w:noProof/>
            <w:webHidden/>
          </w:rPr>
          <w:tab/>
        </w:r>
        <w:r w:rsidR="001D65A9">
          <w:rPr>
            <w:noProof/>
            <w:webHidden/>
          </w:rPr>
          <w:fldChar w:fldCharType="begin"/>
        </w:r>
        <w:r w:rsidR="001D65A9">
          <w:rPr>
            <w:noProof/>
            <w:webHidden/>
          </w:rPr>
          <w:instrText xml:space="preserve"> PAGEREF _Toc57241627 \h </w:instrText>
        </w:r>
        <w:r w:rsidR="001D65A9">
          <w:rPr>
            <w:noProof/>
            <w:webHidden/>
          </w:rPr>
        </w:r>
        <w:r w:rsidR="001D65A9">
          <w:rPr>
            <w:noProof/>
            <w:webHidden/>
          </w:rPr>
          <w:fldChar w:fldCharType="separate"/>
        </w:r>
        <w:r w:rsidR="001D65A9">
          <w:rPr>
            <w:noProof/>
            <w:webHidden/>
          </w:rPr>
          <w:t>32</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28" w:history="1">
        <w:r w:rsidR="001D65A9" w:rsidRPr="00681E5D">
          <w:rPr>
            <w:rStyle w:val="-"/>
            <w:noProof/>
          </w:rPr>
          <w:t>2.5.2 Δευτερογενής προοδευτική πολλαπλή σκλήρυνση (</w:t>
        </w:r>
        <w:r w:rsidR="001D65A9" w:rsidRPr="00681E5D">
          <w:rPr>
            <w:rStyle w:val="-"/>
            <w:noProof/>
            <w:lang w:val="en-US"/>
          </w:rPr>
          <w:t>Secondary</w:t>
        </w:r>
        <w:r w:rsidR="001D65A9" w:rsidRPr="00681E5D">
          <w:rPr>
            <w:rStyle w:val="-"/>
            <w:noProof/>
          </w:rPr>
          <w:t xml:space="preserve"> </w:t>
        </w:r>
        <w:r w:rsidR="001D65A9" w:rsidRPr="00681E5D">
          <w:rPr>
            <w:rStyle w:val="-"/>
            <w:noProof/>
            <w:lang w:val="en-US"/>
          </w:rPr>
          <w:t>Progressive</w:t>
        </w:r>
        <w:r w:rsidR="001D65A9" w:rsidRPr="00681E5D">
          <w:rPr>
            <w:rStyle w:val="-"/>
            <w:noProof/>
          </w:rPr>
          <w:t xml:space="preserve"> </w:t>
        </w:r>
        <w:r w:rsidR="001D65A9" w:rsidRPr="00681E5D">
          <w:rPr>
            <w:rStyle w:val="-"/>
            <w:noProof/>
            <w:lang w:val="en-US"/>
          </w:rPr>
          <w:t>SM</w:t>
        </w:r>
        <w:r w:rsidR="001D65A9" w:rsidRPr="00681E5D">
          <w:rPr>
            <w:rStyle w:val="-"/>
            <w:noProof/>
          </w:rPr>
          <w:t>- SPSM)</w:t>
        </w:r>
        <w:r w:rsidR="001D65A9">
          <w:rPr>
            <w:noProof/>
            <w:webHidden/>
          </w:rPr>
          <w:tab/>
        </w:r>
        <w:r w:rsidR="001D65A9">
          <w:rPr>
            <w:noProof/>
            <w:webHidden/>
          </w:rPr>
          <w:fldChar w:fldCharType="begin"/>
        </w:r>
        <w:r w:rsidR="001D65A9">
          <w:rPr>
            <w:noProof/>
            <w:webHidden/>
          </w:rPr>
          <w:instrText xml:space="preserve"> PAGEREF _Toc57241628 \h </w:instrText>
        </w:r>
        <w:r w:rsidR="001D65A9">
          <w:rPr>
            <w:noProof/>
            <w:webHidden/>
          </w:rPr>
        </w:r>
        <w:r w:rsidR="001D65A9">
          <w:rPr>
            <w:noProof/>
            <w:webHidden/>
          </w:rPr>
          <w:fldChar w:fldCharType="separate"/>
        </w:r>
        <w:r w:rsidR="001D65A9">
          <w:rPr>
            <w:noProof/>
            <w:webHidden/>
          </w:rPr>
          <w:t>33</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29" w:history="1">
        <w:r w:rsidR="001D65A9" w:rsidRPr="00681E5D">
          <w:rPr>
            <w:rStyle w:val="-"/>
            <w:noProof/>
          </w:rPr>
          <w:t>2.5.3 Πρωτεύουσα Προοδευτική Μορφή της ΣΚΠ (</w:t>
        </w:r>
        <w:r w:rsidR="001D65A9" w:rsidRPr="00681E5D">
          <w:rPr>
            <w:rStyle w:val="-"/>
            <w:noProof/>
            <w:lang w:val="en-US"/>
          </w:rPr>
          <w:t>Primary</w:t>
        </w:r>
        <w:r w:rsidR="001D65A9" w:rsidRPr="00681E5D">
          <w:rPr>
            <w:rStyle w:val="-"/>
            <w:noProof/>
          </w:rPr>
          <w:t xml:space="preserve"> </w:t>
        </w:r>
        <w:r w:rsidR="001D65A9" w:rsidRPr="00681E5D">
          <w:rPr>
            <w:rStyle w:val="-"/>
            <w:noProof/>
            <w:lang w:val="en-US"/>
          </w:rPr>
          <w:t>Progressive</w:t>
        </w:r>
        <w:r w:rsidR="001D65A9" w:rsidRPr="00681E5D">
          <w:rPr>
            <w:rStyle w:val="-"/>
            <w:noProof/>
          </w:rPr>
          <w:t xml:space="preserve"> </w:t>
        </w:r>
        <w:r w:rsidR="001D65A9" w:rsidRPr="00681E5D">
          <w:rPr>
            <w:rStyle w:val="-"/>
            <w:noProof/>
            <w:lang w:val="en-US"/>
          </w:rPr>
          <w:t>MS</w:t>
        </w:r>
        <w:r w:rsidR="001D65A9" w:rsidRPr="00681E5D">
          <w:rPr>
            <w:rStyle w:val="-"/>
            <w:noProof/>
          </w:rPr>
          <w:t>- PPMS)</w:t>
        </w:r>
        <w:r w:rsidR="001D65A9">
          <w:rPr>
            <w:noProof/>
            <w:webHidden/>
          </w:rPr>
          <w:tab/>
        </w:r>
        <w:r w:rsidR="001D65A9">
          <w:rPr>
            <w:noProof/>
            <w:webHidden/>
          </w:rPr>
          <w:fldChar w:fldCharType="begin"/>
        </w:r>
        <w:r w:rsidR="001D65A9">
          <w:rPr>
            <w:noProof/>
            <w:webHidden/>
          </w:rPr>
          <w:instrText xml:space="preserve"> PAGEREF _Toc57241629 \h </w:instrText>
        </w:r>
        <w:r w:rsidR="001D65A9">
          <w:rPr>
            <w:noProof/>
            <w:webHidden/>
          </w:rPr>
        </w:r>
        <w:r w:rsidR="001D65A9">
          <w:rPr>
            <w:noProof/>
            <w:webHidden/>
          </w:rPr>
          <w:fldChar w:fldCharType="separate"/>
        </w:r>
        <w:r w:rsidR="001D65A9">
          <w:rPr>
            <w:noProof/>
            <w:webHidden/>
          </w:rPr>
          <w:t>34</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0" w:history="1">
        <w:r w:rsidR="001D65A9" w:rsidRPr="00681E5D">
          <w:rPr>
            <w:rStyle w:val="-"/>
            <w:noProof/>
          </w:rPr>
          <w:t>2.5.4 Προοδευτική υποτροπιάζουσα πολλαπλή σκλήρυνση (Progressive-relapsing MS-  RPMS)</w:t>
        </w:r>
        <w:r w:rsidR="001D65A9">
          <w:rPr>
            <w:noProof/>
            <w:webHidden/>
          </w:rPr>
          <w:tab/>
        </w:r>
        <w:r w:rsidR="001D65A9">
          <w:rPr>
            <w:noProof/>
            <w:webHidden/>
          </w:rPr>
          <w:fldChar w:fldCharType="begin"/>
        </w:r>
        <w:r w:rsidR="001D65A9">
          <w:rPr>
            <w:noProof/>
            <w:webHidden/>
          </w:rPr>
          <w:instrText xml:space="preserve"> PAGEREF _Toc57241630 \h </w:instrText>
        </w:r>
        <w:r w:rsidR="001D65A9">
          <w:rPr>
            <w:noProof/>
            <w:webHidden/>
          </w:rPr>
        </w:r>
        <w:r w:rsidR="001D65A9">
          <w:rPr>
            <w:noProof/>
            <w:webHidden/>
          </w:rPr>
          <w:fldChar w:fldCharType="separate"/>
        </w:r>
        <w:r w:rsidR="001D65A9">
          <w:rPr>
            <w:noProof/>
            <w:webHidden/>
          </w:rPr>
          <w:t>35</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31" w:history="1">
        <w:r w:rsidR="001D65A9" w:rsidRPr="00681E5D">
          <w:rPr>
            <w:rStyle w:val="-"/>
            <w:noProof/>
            <w:lang w:eastAsia="el-GR"/>
          </w:rPr>
          <w:t>2.6 Συμπτώματα</w:t>
        </w:r>
        <w:r w:rsidR="001D65A9">
          <w:rPr>
            <w:noProof/>
            <w:webHidden/>
          </w:rPr>
          <w:tab/>
        </w:r>
        <w:r w:rsidR="001D65A9">
          <w:rPr>
            <w:noProof/>
            <w:webHidden/>
          </w:rPr>
          <w:fldChar w:fldCharType="begin"/>
        </w:r>
        <w:r w:rsidR="001D65A9">
          <w:rPr>
            <w:noProof/>
            <w:webHidden/>
          </w:rPr>
          <w:instrText xml:space="preserve"> PAGEREF _Toc57241631 \h </w:instrText>
        </w:r>
        <w:r w:rsidR="001D65A9">
          <w:rPr>
            <w:noProof/>
            <w:webHidden/>
          </w:rPr>
        </w:r>
        <w:r w:rsidR="001D65A9">
          <w:rPr>
            <w:noProof/>
            <w:webHidden/>
          </w:rPr>
          <w:fldChar w:fldCharType="separate"/>
        </w:r>
        <w:r w:rsidR="001D65A9">
          <w:rPr>
            <w:noProof/>
            <w:webHidden/>
          </w:rPr>
          <w:t>35</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2" w:history="1">
        <w:r w:rsidR="001D65A9" w:rsidRPr="00681E5D">
          <w:rPr>
            <w:rStyle w:val="-"/>
            <w:noProof/>
            <w:lang w:eastAsia="el-GR"/>
          </w:rPr>
          <w:t>2.6.1 Μυϊκή κόπωση</w:t>
        </w:r>
        <w:r w:rsidR="001D65A9">
          <w:rPr>
            <w:noProof/>
            <w:webHidden/>
          </w:rPr>
          <w:tab/>
        </w:r>
        <w:r w:rsidR="001D65A9">
          <w:rPr>
            <w:noProof/>
            <w:webHidden/>
          </w:rPr>
          <w:fldChar w:fldCharType="begin"/>
        </w:r>
        <w:r w:rsidR="001D65A9">
          <w:rPr>
            <w:noProof/>
            <w:webHidden/>
          </w:rPr>
          <w:instrText xml:space="preserve"> PAGEREF _Toc57241632 \h </w:instrText>
        </w:r>
        <w:r w:rsidR="001D65A9">
          <w:rPr>
            <w:noProof/>
            <w:webHidden/>
          </w:rPr>
        </w:r>
        <w:r w:rsidR="001D65A9">
          <w:rPr>
            <w:noProof/>
            <w:webHidden/>
          </w:rPr>
          <w:fldChar w:fldCharType="separate"/>
        </w:r>
        <w:r w:rsidR="001D65A9">
          <w:rPr>
            <w:noProof/>
            <w:webHidden/>
          </w:rPr>
          <w:t>36</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3" w:history="1">
        <w:r w:rsidR="001D65A9" w:rsidRPr="00681E5D">
          <w:rPr>
            <w:rStyle w:val="-"/>
            <w:noProof/>
            <w:lang w:eastAsia="el-GR"/>
          </w:rPr>
          <w:t>2.6.2 Σπαστικότητα</w:t>
        </w:r>
        <w:r w:rsidR="001D65A9">
          <w:rPr>
            <w:noProof/>
            <w:webHidden/>
          </w:rPr>
          <w:tab/>
        </w:r>
        <w:r w:rsidR="001D65A9">
          <w:rPr>
            <w:noProof/>
            <w:webHidden/>
          </w:rPr>
          <w:fldChar w:fldCharType="begin"/>
        </w:r>
        <w:r w:rsidR="001D65A9">
          <w:rPr>
            <w:noProof/>
            <w:webHidden/>
          </w:rPr>
          <w:instrText xml:space="preserve"> PAGEREF _Toc57241633 \h </w:instrText>
        </w:r>
        <w:r w:rsidR="001D65A9">
          <w:rPr>
            <w:noProof/>
            <w:webHidden/>
          </w:rPr>
        </w:r>
        <w:r w:rsidR="001D65A9">
          <w:rPr>
            <w:noProof/>
            <w:webHidden/>
          </w:rPr>
          <w:fldChar w:fldCharType="separate"/>
        </w:r>
        <w:r w:rsidR="001D65A9">
          <w:rPr>
            <w:noProof/>
            <w:webHidden/>
          </w:rPr>
          <w:t>36</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4" w:history="1">
        <w:r w:rsidR="001D65A9" w:rsidRPr="00681E5D">
          <w:rPr>
            <w:rStyle w:val="-"/>
            <w:noProof/>
            <w:lang w:eastAsia="el-GR"/>
          </w:rPr>
          <w:t>2.6.3 Προβλήματα όρασης, ομιλίας</w:t>
        </w:r>
        <w:r w:rsidR="001D65A9">
          <w:rPr>
            <w:noProof/>
            <w:webHidden/>
          </w:rPr>
          <w:tab/>
        </w:r>
        <w:r w:rsidR="001D65A9">
          <w:rPr>
            <w:noProof/>
            <w:webHidden/>
          </w:rPr>
          <w:fldChar w:fldCharType="begin"/>
        </w:r>
        <w:r w:rsidR="001D65A9">
          <w:rPr>
            <w:noProof/>
            <w:webHidden/>
          </w:rPr>
          <w:instrText xml:space="preserve"> PAGEREF _Toc57241634 \h </w:instrText>
        </w:r>
        <w:r w:rsidR="001D65A9">
          <w:rPr>
            <w:noProof/>
            <w:webHidden/>
          </w:rPr>
        </w:r>
        <w:r w:rsidR="001D65A9">
          <w:rPr>
            <w:noProof/>
            <w:webHidden/>
          </w:rPr>
          <w:fldChar w:fldCharType="separate"/>
        </w:r>
        <w:r w:rsidR="001D65A9">
          <w:rPr>
            <w:noProof/>
            <w:webHidden/>
          </w:rPr>
          <w:t>37</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5" w:history="1">
        <w:r w:rsidR="001D65A9" w:rsidRPr="00681E5D">
          <w:rPr>
            <w:rStyle w:val="-"/>
            <w:noProof/>
            <w:lang w:eastAsia="el-GR"/>
          </w:rPr>
          <w:t>2.6.4 Συμπτώματα ουροδόχου κύστεως και Εντερικά προβλήματα</w:t>
        </w:r>
        <w:r w:rsidR="001D65A9">
          <w:rPr>
            <w:noProof/>
            <w:webHidden/>
          </w:rPr>
          <w:tab/>
        </w:r>
        <w:r w:rsidR="001D65A9">
          <w:rPr>
            <w:noProof/>
            <w:webHidden/>
          </w:rPr>
          <w:fldChar w:fldCharType="begin"/>
        </w:r>
        <w:r w:rsidR="001D65A9">
          <w:rPr>
            <w:noProof/>
            <w:webHidden/>
          </w:rPr>
          <w:instrText xml:space="preserve"> PAGEREF _Toc57241635 \h </w:instrText>
        </w:r>
        <w:r w:rsidR="001D65A9">
          <w:rPr>
            <w:noProof/>
            <w:webHidden/>
          </w:rPr>
        </w:r>
        <w:r w:rsidR="001D65A9">
          <w:rPr>
            <w:noProof/>
            <w:webHidden/>
          </w:rPr>
          <w:fldChar w:fldCharType="separate"/>
        </w:r>
        <w:r w:rsidR="001D65A9">
          <w:rPr>
            <w:noProof/>
            <w:webHidden/>
          </w:rPr>
          <w:t>38</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6" w:history="1">
        <w:r w:rsidR="001D65A9" w:rsidRPr="00681E5D">
          <w:rPr>
            <w:rStyle w:val="-"/>
            <w:noProof/>
            <w:lang w:eastAsia="el-GR"/>
          </w:rPr>
          <w:t>2.6.5 Προβλήματα βάδισης</w:t>
        </w:r>
        <w:r w:rsidR="001D65A9">
          <w:rPr>
            <w:noProof/>
            <w:webHidden/>
          </w:rPr>
          <w:tab/>
        </w:r>
        <w:r w:rsidR="001D65A9">
          <w:rPr>
            <w:noProof/>
            <w:webHidden/>
          </w:rPr>
          <w:fldChar w:fldCharType="begin"/>
        </w:r>
        <w:r w:rsidR="001D65A9">
          <w:rPr>
            <w:noProof/>
            <w:webHidden/>
          </w:rPr>
          <w:instrText xml:space="preserve"> PAGEREF _Toc57241636 \h </w:instrText>
        </w:r>
        <w:r w:rsidR="001D65A9">
          <w:rPr>
            <w:noProof/>
            <w:webHidden/>
          </w:rPr>
        </w:r>
        <w:r w:rsidR="001D65A9">
          <w:rPr>
            <w:noProof/>
            <w:webHidden/>
          </w:rPr>
          <w:fldChar w:fldCharType="separate"/>
        </w:r>
        <w:r w:rsidR="001D65A9">
          <w:rPr>
            <w:noProof/>
            <w:webHidden/>
          </w:rPr>
          <w:t>39</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7" w:history="1">
        <w:r w:rsidR="001D65A9" w:rsidRPr="00681E5D">
          <w:rPr>
            <w:rStyle w:val="-"/>
            <w:noProof/>
            <w:lang w:eastAsia="el-GR"/>
          </w:rPr>
          <w:t>2.6.6 Μούδιασμα, ζαλάδα και ίλιγγος</w:t>
        </w:r>
        <w:r w:rsidR="001D65A9">
          <w:rPr>
            <w:noProof/>
            <w:webHidden/>
          </w:rPr>
          <w:tab/>
        </w:r>
        <w:r w:rsidR="001D65A9">
          <w:rPr>
            <w:noProof/>
            <w:webHidden/>
          </w:rPr>
          <w:fldChar w:fldCharType="begin"/>
        </w:r>
        <w:r w:rsidR="001D65A9">
          <w:rPr>
            <w:noProof/>
            <w:webHidden/>
          </w:rPr>
          <w:instrText xml:space="preserve"> PAGEREF _Toc57241637 \h </w:instrText>
        </w:r>
        <w:r w:rsidR="001D65A9">
          <w:rPr>
            <w:noProof/>
            <w:webHidden/>
          </w:rPr>
        </w:r>
        <w:r w:rsidR="001D65A9">
          <w:rPr>
            <w:noProof/>
            <w:webHidden/>
          </w:rPr>
          <w:fldChar w:fldCharType="separate"/>
        </w:r>
        <w:r w:rsidR="001D65A9">
          <w:rPr>
            <w:noProof/>
            <w:webHidden/>
          </w:rPr>
          <w:t>40</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8" w:history="1">
        <w:r w:rsidR="001D65A9" w:rsidRPr="00681E5D">
          <w:rPr>
            <w:rStyle w:val="-"/>
            <w:noProof/>
            <w:lang w:eastAsia="el-GR"/>
          </w:rPr>
          <w:t>2.6.7 Γνωστικές αλλαγές</w:t>
        </w:r>
        <w:r w:rsidR="001D65A9">
          <w:rPr>
            <w:noProof/>
            <w:webHidden/>
          </w:rPr>
          <w:tab/>
        </w:r>
        <w:r w:rsidR="001D65A9">
          <w:rPr>
            <w:noProof/>
            <w:webHidden/>
          </w:rPr>
          <w:fldChar w:fldCharType="begin"/>
        </w:r>
        <w:r w:rsidR="001D65A9">
          <w:rPr>
            <w:noProof/>
            <w:webHidden/>
          </w:rPr>
          <w:instrText xml:space="preserve"> PAGEREF _Toc57241638 \h </w:instrText>
        </w:r>
        <w:r w:rsidR="001D65A9">
          <w:rPr>
            <w:noProof/>
            <w:webHidden/>
          </w:rPr>
        </w:r>
        <w:r w:rsidR="001D65A9">
          <w:rPr>
            <w:noProof/>
            <w:webHidden/>
          </w:rPr>
          <w:fldChar w:fldCharType="separate"/>
        </w:r>
        <w:r w:rsidR="001D65A9">
          <w:rPr>
            <w:noProof/>
            <w:webHidden/>
          </w:rPr>
          <w:t>41</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39" w:history="1">
        <w:r w:rsidR="001D65A9" w:rsidRPr="00681E5D">
          <w:rPr>
            <w:rStyle w:val="-"/>
            <w:noProof/>
            <w:lang w:eastAsia="el-GR"/>
          </w:rPr>
          <w:t>2.6.8 Σεξουαλικά προβλήματα</w:t>
        </w:r>
        <w:r w:rsidR="001D65A9">
          <w:rPr>
            <w:noProof/>
            <w:webHidden/>
          </w:rPr>
          <w:tab/>
        </w:r>
        <w:r w:rsidR="001D65A9">
          <w:rPr>
            <w:noProof/>
            <w:webHidden/>
          </w:rPr>
          <w:fldChar w:fldCharType="begin"/>
        </w:r>
        <w:r w:rsidR="001D65A9">
          <w:rPr>
            <w:noProof/>
            <w:webHidden/>
          </w:rPr>
          <w:instrText xml:space="preserve"> PAGEREF _Toc57241639 \h </w:instrText>
        </w:r>
        <w:r w:rsidR="001D65A9">
          <w:rPr>
            <w:noProof/>
            <w:webHidden/>
          </w:rPr>
        </w:r>
        <w:r w:rsidR="001D65A9">
          <w:rPr>
            <w:noProof/>
            <w:webHidden/>
          </w:rPr>
          <w:fldChar w:fldCharType="separate"/>
        </w:r>
        <w:r w:rsidR="001D65A9">
          <w:rPr>
            <w:noProof/>
            <w:webHidden/>
          </w:rPr>
          <w:t>42</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40" w:history="1">
        <w:r w:rsidR="001D65A9" w:rsidRPr="00681E5D">
          <w:rPr>
            <w:rStyle w:val="-"/>
            <w:noProof/>
            <w:lang w:eastAsia="el-GR"/>
          </w:rPr>
          <w:t>2.7 Θεραπεία (φαρμακευτική και χειρουργική)</w:t>
        </w:r>
        <w:r w:rsidR="001D65A9">
          <w:rPr>
            <w:noProof/>
            <w:webHidden/>
          </w:rPr>
          <w:tab/>
        </w:r>
        <w:r w:rsidR="001D65A9">
          <w:rPr>
            <w:noProof/>
            <w:webHidden/>
          </w:rPr>
          <w:fldChar w:fldCharType="begin"/>
        </w:r>
        <w:r w:rsidR="001D65A9">
          <w:rPr>
            <w:noProof/>
            <w:webHidden/>
          </w:rPr>
          <w:instrText xml:space="preserve"> PAGEREF _Toc57241640 \h </w:instrText>
        </w:r>
        <w:r w:rsidR="001D65A9">
          <w:rPr>
            <w:noProof/>
            <w:webHidden/>
          </w:rPr>
        </w:r>
        <w:r w:rsidR="001D65A9">
          <w:rPr>
            <w:noProof/>
            <w:webHidden/>
          </w:rPr>
          <w:fldChar w:fldCharType="separate"/>
        </w:r>
        <w:r w:rsidR="001D65A9">
          <w:rPr>
            <w:noProof/>
            <w:webHidden/>
          </w:rPr>
          <w:t>43</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41" w:history="1">
        <w:r w:rsidR="001D65A9" w:rsidRPr="00681E5D">
          <w:rPr>
            <w:rStyle w:val="-"/>
            <w:noProof/>
            <w:lang w:eastAsia="el-GR"/>
          </w:rPr>
          <w:t>ΚΕΦΑΛΑΙΟ 3</w:t>
        </w:r>
        <w:r w:rsidR="001D65A9" w:rsidRPr="00681E5D">
          <w:rPr>
            <w:rStyle w:val="-"/>
            <w:noProof/>
            <w:vertAlign w:val="superscript"/>
            <w:lang w:eastAsia="el-GR"/>
          </w:rPr>
          <w:t>ο</w:t>
        </w:r>
        <w:r w:rsidR="001D65A9" w:rsidRPr="00681E5D">
          <w:rPr>
            <w:rStyle w:val="-"/>
            <w:noProof/>
            <w:lang w:eastAsia="el-GR"/>
          </w:rPr>
          <w:t xml:space="preserve">: ΝΟΣΟΣ </w:t>
        </w:r>
        <w:r w:rsidR="001D65A9" w:rsidRPr="00681E5D">
          <w:rPr>
            <w:rStyle w:val="-"/>
            <w:noProof/>
            <w:lang w:val="en-US" w:eastAsia="el-GR"/>
          </w:rPr>
          <w:t>DEVIC</w:t>
        </w:r>
        <w:r w:rsidR="001D65A9">
          <w:rPr>
            <w:noProof/>
            <w:webHidden/>
          </w:rPr>
          <w:tab/>
        </w:r>
        <w:r w:rsidR="001D65A9">
          <w:rPr>
            <w:noProof/>
            <w:webHidden/>
          </w:rPr>
          <w:fldChar w:fldCharType="begin"/>
        </w:r>
        <w:r w:rsidR="001D65A9">
          <w:rPr>
            <w:noProof/>
            <w:webHidden/>
          </w:rPr>
          <w:instrText xml:space="preserve"> PAGEREF _Toc57241641 \h </w:instrText>
        </w:r>
        <w:r w:rsidR="001D65A9">
          <w:rPr>
            <w:noProof/>
            <w:webHidden/>
          </w:rPr>
        </w:r>
        <w:r w:rsidR="001D65A9">
          <w:rPr>
            <w:noProof/>
            <w:webHidden/>
          </w:rPr>
          <w:fldChar w:fldCharType="separate"/>
        </w:r>
        <w:r w:rsidR="001D65A9">
          <w:rPr>
            <w:noProof/>
            <w:webHidden/>
          </w:rPr>
          <w:t>46</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42" w:history="1">
        <w:r w:rsidR="001D65A9" w:rsidRPr="00681E5D">
          <w:rPr>
            <w:rStyle w:val="-"/>
            <w:rFonts w:eastAsia="Arial-BoldMT"/>
            <w:noProof/>
            <w:lang w:eastAsia="el-GR"/>
          </w:rPr>
          <w:t xml:space="preserve">3.1 </w:t>
        </w:r>
        <w:r w:rsidR="001D65A9" w:rsidRPr="00681E5D">
          <w:rPr>
            <w:rStyle w:val="-"/>
            <w:rFonts w:eastAsia="ArialMT"/>
            <w:noProof/>
            <w:lang w:eastAsia="el-GR"/>
          </w:rPr>
          <w:t>Ιστορική διαδρομή νόσου</w:t>
        </w:r>
        <w:r w:rsidR="001D65A9">
          <w:rPr>
            <w:noProof/>
            <w:webHidden/>
          </w:rPr>
          <w:tab/>
        </w:r>
        <w:r w:rsidR="001D65A9">
          <w:rPr>
            <w:noProof/>
            <w:webHidden/>
          </w:rPr>
          <w:fldChar w:fldCharType="begin"/>
        </w:r>
        <w:r w:rsidR="001D65A9">
          <w:rPr>
            <w:noProof/>
            <w:webHidden/>
          </w:rPr>
          <w:instrText xml:space="preserve"> PAGEREF _Toc57241642 \h </w:instrText>
        </w:r>
        <w:r w:rsidR="001D65A9">
          <w:rPr>
            <w:noProof/>
            <w:webHidden/>
          </w:rPr>
        </w:r>
        <w:r w:rsidR="001D65A9">
          <w:rPr>
            <w:noProof/>
            <w:webHidden/>
          </w:rPr>
          <w:fldChar w:fldCharType="separate"/>
        </w:r>
        <w:r w:rsidR="001D65A9">
          <w:rPr>
            <w:noProof/>
            <w:webHidden/>
          </w:rPr>
          <w:t>46</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43" w:history="1">
        <w:r w:rsidR="001D65A9" w:rsidRPr="00681E5D">
          <w:rPr>
            <w:rStyle w:val="-"/>
            <w:rFonts w:eastAsia="ArialMT"/>
            <w:noProof/>
            <w:lang w:eastAsia="el-GR"/>
          </w:rPr>
          <w:t>3.2 Κατηγοριοποίηση</w:t>
        </w:r>
        <w:r w:rsidR="001D65A9">
          <w:rPr>
            <w:noProof/>
            <w:webHidden/>
          </w:rPr>
          <w:tab/>
        </w:r>
        <w:r w:rsidR="001D65A9">
          <w:rPr>
            <w:noProof/>
            <w:webHidden/>
          </w:rPr>
          <w:fldChar w:fldCharType="begin"/>
        </w:r>
        <w:r w:rsidR="001D65A9">
          <w:rPr>
            <w:noProof/>
            <w:webHidden/>
          </w:rPr>
          <w:instrText xml:space="preserve"> PAGEREF _Toc57241643 \h </w:instrText>
        </w:r>
        <w:r w:rsidR="001D65A9">
          <w:rPr>
            <w:noProof/>
            <w:webHidden/>
          </w:rPr>
        </w:r>
        <w:r w:rsidR="001D65A9">
          <w:rPr>
            <w:noProof/>
            <w:webHidden/>
          </w:rPr>
          <w:fldChar w:fldCharType="separate"/>
        </w:r>
        <w:r w:rsidR="001D65A9">
          <w:rPr>
            <w:noProof/>
            <w:webHidden/>
          </w:rPr>
          <w:t>51</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44" w:history="1">
        <w:r w:rsidR="001D65A9" w:rsidRPr="00681E5D">
          <w:rPr>
            <w:rStyle w:val="-"/>
            <w:noProof/>
          </w:rPr>
          <w:t>3.3 Επιδημιολογία</w:t>
        </w:r>
        <w:r w:rsidR="001D65A9">
          <w:rPr>
            <w:noProof/>
            <w:webHidden/>
          </w:rPr>
          <w:tab/>
        </w:r>
        <w:r w:rsidR="001D65A9">
          <w:rPr>
            <w:noProof/>
            <w:webHidden/>
          </w:rPr>
          <w:fldChar w:fldCharType="begin"/>
        </w:r>
        <w:r w:rsidR="001D65A9">
          <w:rPr>
            <w:noProof/>
            <w:webHidden/>
          </w:rPr>
          <w:instrText xml:space="preserve"> PAGEREF _Toc57241644 \h </w:instrText>
        </w:r>
        <w:r w:rsidR="001D65A9">
          <w:rPr>
            <w:noProof/>
            <w:webHidden/>
          </w:rPr>
        </w:r>
        <w:r w:rsidR="001D65A9">
          <w:rPr>
            <w:noProof/>
            <w:webHidden/>
          </w:rPr>
          <w:fldChar w:fldCharType="separate"/>
        </w:r>
        <w:r w:rsidR="001D65A9">
          <w:rPr>
            <w:noProof/>
            <w:webHidden/>
          </w:rPr>
          <w:t>52</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45" w:history="1">
        <w:r w:rsidR="001D65A9" w:rsidRPr="00681E5D">
          <w:rPr>
            <w:rStyle w:val="-"/>
            <w:noProof/>
            <w:lang w:eastAsia="el-GR"/>
          </w:rPr>
          <w:t xml:space="preserve">3.4 </w:t>
        </w:r>
        <w:r w:rsidR="001D65A9" w:rsidRPr="00681E5D">
          <w:rPr>
            <w:rStyle w:val="-"/>
            <w:noProof/>
          </w:rPr>
          <w:t>Παθολογία και ανοσοπαθογένεια</w:t>
        </w:r>
        <w:r w:rsidR="001D65A9">
          <w:rPr>
            <w:noProof/>
            <w:webHidden/>
          </w:rPr>
          <w:tab/>
        </w:r>
        <w:r w:rsidR="001D65A9">
          <w:rPr>
            <w:noProof/>
            <w:webHidden/>
          </w:rPr>
          <w:fldChar w:fldCharType="begin"/>
        </w:r>
        <w:r w:rsidR="001D65A9">
          <w:rPr>
            <w:noProof/>
            <w:webHidden/>
          </w:rPr>
          <w:instrText xml:space="preserve"> PAGEREF _Toc57241645 \h </w:instrText>
        </w:r>
        <w:r w:rsidR="001D65A9">
          <w:rPr>
            <w:noProof/>
            <w:webHidden/>
          </w:rPr>
        </w:r>
        <w:r w:rsidR="001D65A9">
          <w:rPr>
            <w:noProof/>
            <w:webHidden/>
          </w:rPr>
          <w:fldChar w:fldCharType="separate"/>
        </w:r>
        <w:r w:rsidR="001D65A9">
          <w:rPr>
            <w:noProof/>
            <w:webHidden/>
          </w:rPr>
          <w:t>52</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46" w:history="1">
        <w:r w:rsidR="001D65A9" w:rsidRPr="00681E5D">
          <w:rPr>
            <w:rStyle w:val="-"/>
            <w:noProof/>
            <w:lang w:eastAsia="el-GR"/>
          </w:rPr>
          <w:t xml:space="preserve">3.5 </w:t>
        </w:r>
        <w:r w:rsidR="001D65A9" w:rsidRPr="00681E5D">
          <w:rPr>
            <w:rStyle w:val="-"/>
            <w:noProof/>
          </w:rPr>
          <w:t>Κλινικά χαρακτηριστικά</w:t>
        </w:r>
        <w:r w:rsidR="001D65A9">
          <w:rPr>
            <w:noProof/>
            <w:webHidden/>
          </w:rPr>
          <w:tab/>
        </w:r>
        <w:r w:rsidR="001D65A9">
          <w:rPr>
            <w:noProof/>
            <w:webHidden/>
          </w:rPr>
          <w:fldChar w:fldCharType="begin"/>
        </w:r>
        <w:r w:rsidR="001D65A9">
          <w:rPr>
            <w:noProof/>
            <w:webHidden/>
          </w:rPr>
          <w:instrText xml:space="preserve"> PAGEREF _Toc57241646 \h </w:instrText>
        </w:r>
        <w:r w:rsidR="001D65A9">
          <w:rPr>
            <w:noProof/>
            <w:webHidden/>
          </w:rPr>
        </w:r>
        <w:r w:rsidR="001D65A9">
          <w:rPr>
            <w:noProof/>
            <w:webHidden/>
          </w:rPr>
          <w:fldChar w:fldCharType="separate"/>
        </w:r>
        <w:r w:rsidR="001D65A9">
          <w:rPr>
            <w:noProof/>
            <w:webHidden/>
          </w:rPr>
          <w:t>53</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47" w:history="1">
        <w:r w:rsidR="001D65A9" w:rsidRPr="00681E5D">
          <w:rPr>
            <w:rStyle w:val="-"/>
            <w:noProof/>
          </w:rPr>
          <w:t>3.6 Διάγνωση</w:t>
        </w:r>
        <w:r w:rsidR="001D65A9">
          <w:rPr>
            <w:noProof/>
            <w:webHidden/>
          </w:rPr>
          <w:tab/>
        </w:r>
        <w:r w:rsidR="001D65A9">
          <w:rPr>
            <w:noProof/>
            <w:webHidden/>
          </w:rPr>
          <w:fldChar w:fldCharType="begin"/>
        </w:r>
        <w:r w:rsidR="001D65A9">
          <w:rPr>
            <w:noProof/>
            <w:webHidden/>
          </w:rPr>
          <w:instrText xml:space="preserve"> PAGEREF _Toc57241647 \h </w:instrText>
        </w:r>
        <w:r w:rsidR="001D65A9">
          <w:rPr>
            <w:noProof/>
            <w:webHidden/>
          </w:rPr>
        </w:r>
        <w:r w:rsidR="001D65A9">
          <w:rPr>
            <w:noProof/>
            <w:webHidden/>
          </w:rPr>
          <w:fldChar w:fldCharType="separate"/>
        </w:r>
        <w:r w:rsidR="001D65A9">
          <w:rPr>
            <w:noProof/>
            <w:webHidden/>
          </w:rPr>
          <w:t>54</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48" w:history="1">
        <w:r w:rsidR="001D65A9" w:rsidRPr="00681E5D">
          <w:rPr>
            <w:rStyle w:val="-"/>
            <w:noProof/>
          </w:rPr>
          <w:t>3.7 Θεραπευτική αντιμετώπιση</w:t>
        </w:r>
        <w:r w:rsidR="001D65A9">
          <w:rPr>
            <w:noProof/>
            <w:webHidden/>
          </w:rPr>
          <w:tab/>
        </w:r>
        <w:r w:rsidR="001D65A9">
          <w:rPr>
            <w:noProof/>
            <w:webHidden/>
          </w:rPr>
          <w:fldChar w:fldCharType="begin"/>
        </w:r>
        <w:r w:rsidR="001D65A9">
          <w:rPr>
            <w:noProof/>
            <w:webHidden/>
          </w:rPr>
          <w:instrText xml:space="preserve"> PAGEREF _Toc57241648 \h </w:instrText>
        </w:r>
        <w:r w:rsidR="001D65A9">
          <w:rPr>
            <w:noProof/>
            <w:webHidden/>
          </w:rPr>
        </w:r>
        <w:r w:rsidR="001D65A9">
          <w:rPr>
            <w:noProof/>
            <w:webHidden/>
          </w:rPr>
          <w:fldChar w:fldCharType="separate"/>
        </w:r>
        <w:r w:rsidR="001D65A9">
          <w:rPr>
            <w:noProof/>
            <w:webHidden/>
          </w:rPr>
          <w:t>55</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49" w:history="1">
        <w:r w:rsidR="001D65A9" w:rsidRPr="00681E5D">
          <w:rPr>
            <w:rStyle w:val="-"/>
            <w:noProof/>
          </w:rPr>
          <w:t>3.7.1 Θεραπευτικές αγωγές της οπτικής νευρομυελίτιδας</w:t>
        </w:r>
        <w:r w:rsidR="001D65A9">
          <w:rPr>
            <w:noProof/>
            <w:webHidden/>
          </w:rPr>
          <w:tab/>
        </w:r>
        <w:r w:rsidR="001D65A9">
          <w:rPr>
            <w:noProof/>
            <w:webHidden/>
          </w:rPr>
          <w:fldChar w:fldCharType="begin"/>
        </w:r>
        <w:r w:rsidR="001D65A9">
          <w:rPr>
            <w:noProof/>
            <w:webHidden/>
          </w:rPr>
          <w:instrText xml:space="preserve"> PAGEREF _Toc57241649 \h </w:instrText>
        </w:r>
        <w:r w:rsidR="001D65A9">
          <w:rPr>
            <w:noProof/>
            <w:webHidden/>
          </w:rPr>
        </w:r>
        <w:r w:rsidR="001D65A9">
          <w:rPr>
            <w:noProof/>
            <w:webHidden/>
          </w:rPr>
          <w:fldChar w:fldCharType="separate"/>
        </w:r>
        <w:r w:rsidR="001D65A9">
          <w:rPr>
            <w:noProof/>
            <w:webHidden/>
          </w:rPr>
          <w:t>55</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50" w:history="1">
        <w:r w:rsidR="001D65A9" w:rsidRPr="00681E5D">
          <w:rPr>
            <w:rStyle w:val="-"/>
            <w:noProof/>
          </w:rPr>
          <w:t>3.7.2. Έρευνες στο πλαίσιο της θεραπείας</w:t>
        </w:r>
        <w:r w:rsidR="001D65A9">
          <w:rPr>
            <w:noProof/>
            <w:webHidden/>
          </w:rPr>
          <w:tab/>
        </w:r>
        <w:r w:rsidR="001D65A9">
          <w:rPr>
            <w:noProof/>
            <w:webHidden/>
          </w:rPr>
          <w:fldChar w:fldCharType="begin"/>
        </w:r>
        <w:r w:rsidR="001D65A9">
          <w:rPr>
            <w:noProof/>
            <w:webHidden/>
          </w:rPr>
          <w:instrText xml:space="preserve"> PAGEREF _Toc57241650 \h </w:instrText>
        </w:r>
        <w:r w:rsidR="001D65A9">
          <w:rPr>
            <w:noProof/>
            <w:webHidden/>
          </w:rPr>
        </w:r>
        <w:r w:rsidR="001D65A9">
          <w:rPr>
            <w:noProof/>
            <w:webHidden/>
          </w:rPr>
          <w:fldChar w:fldCharType="separate"/>
        </w:r>
        <w:r w:rsidR="001D65A9">
          <w:rPr>
            <w:noProof/>
            <w:webHidden/>
          </w:rPr>
          <w:t>58</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51" w:history="1">
        <w:r w:rsidR="001D65A9" w:rsidRPr="00681E5D">
          <w:rPr>
            <w:rStyle w:val="-"/>
            <w:noProof/>
            <w:lang w:eastAsia="el-GR"/>
          </w:rPr>
          <w:t>ΚΕΦΑΛΑΙΟ 4</w:t>
        </w:r>
        <w:r w:rsidR="001D65A9" w:rsidRPr="00681E5D">
          <w:rPr>
            <w:rStyle w:val="-"/>
            <w:noProof/>
            <w:vertAlign w:val="superscript"/>
            <w:lang w:eastAsia="el-GR"/>
          </w:rPr>
          <w:t>ο</w:t>
        </w:r>
        <w:r w:rsidR="001D65A9" w:rsidRPr="00681E5D">
          <w:rPr>
            <w:rStyle w:val="-"/>
            <w:noProof/>
            <w:lang w:eastAsia="el-GR"/>
          </w:rPr>
          <w:t xml:space="preserve">: </w:t>
        </w:r>
        <w:r w:rsidR="001D65A9" w:rsidRPr="00681E5D">
          <w:rPr>
            <w:rStyle w:val="-"/>
            <w:rFonts w:eastAsia="ArialMT"/>
            <w:noProof/>
            <w:lang w:eastAsia="el-GR"/>
          </w:rPr>
          <w:t>ΔΙΑΦΟΡΟΠΟΙΗΣΗ ΜΕΤΑΞΥ ΤΩΝ ΔΥΟ ΝΟΣΩΝ</w:t>
        </w:r>
        <w:r w:rsidR="001D65A9">
          <w:rPr>
            <w:noProof/>
            <w:webHidden/>
          </w:rPr>
          <w:tab/>
        </w:r>
        <w:r w:rsidR="001D65A9">
          <w:rPr>
            <w:noProof/>
            <w:webHidden/>
          </w:rPr>
          <w:fldChar w:fldCharType="begin"/>
        </w:r>
        <w:r w:rsidR="001D65A9">
          <w:rPr>
            <w:noProof/>
            <w:webHidden/>
          </w:rPr>
          <w:instrText xml:space="preserve"> PAGEREF _Toc57241651 \h </w:instrText>
        </w:r>
        <w:r w:rsidR="001D65A9">
          <w:rPr>
            <w:noProof/>
            <w:webHidden/>
          </w:rPr>
        </w:r>
        <w:r w:rsidR="001D65A9">
          <w:rPr>
            <w:noProof/>
            <w:webHidden/>
          </w:rPr>
          <w:fldChar w:fldCharType="separate"/>
        </w:r>
        <w:r w:rsidR="001D65A9">
          <w:rPr>
            <w:noProof/>
            <w:webHidden/>
          </w:rPr>
          <w:t>63</w:t>
        </w:r>
        <w:r w:rsidR="001D65A9">
          <w:rPr>
            <w:noProof/>
            <w:webHidden/>
          </w:rPr>
          <w:fldChar w:fldCharType="end"/>
        </w:r>
      </w:hyperlink>
    </w:p>
    <w:p w:rsidR="001D65A9" w:rsidRDefault="0079502A">
      <w:pPr>
        <w:pStyle w:val="20"/>
        <w:tabs>
          <w:tab w:val="right" w:leader="dot" w:pos="9060"/>
        </w:tabs>
        <w:rPr>
          <w:rFonts w:ascii="Calibri" w:eastAsia="Times New Roman" w:hAnsi="Calibri"/>
          <w:noProof/>
          <w:sz w:val="22"/>
          <w:lang w:eastAsia="el-GR"/>
        </w:rPr>
      </w:pPr>
      <w:hyperlink w:anchor="_Toc57241652" w:history="1">
        <w:r w:rsidR="001D65A9" w:rsidRPr="00681E5D">
          <w:rPr>
            <w:rStyle w:val="-"/>
            <w:noProof/>
            <w:lang w:eastAsia="el-GR"/>
          </w:rPr>
          <w:t>4.1 Συγκριτικές μελέτες</w:t>
        </w:r>
        <w:r w:rsidR="001D65A9">
          <w:rPr>
            <w:noProof/>
            <w:webHidden/>
          </w:rPr>
          <w:tab/>
        </w:r>
        <w:r w:rsidR="001D65A9">
          <w:rPr>
            <w:noProof/>
            <w:webHidden/>
          </w:rPr>
          <w:fldChar w:fldCharType="begin"/>
        </w:r>
        <w:r w:rsidR="001D65A9">
          <w:rPr>
            <w:noProof/>
            <w:webHidden/>
          </w:rPr>
          <w:instrText xml:space="preserve"> PAGEREF _Toc57241652 \h </w:instrText>
        </w:r>
        <w:r w:rsidR="001D65A9">
          <w:rPr>
            <w:noProof/>
            <w:webHidden/>
          </w:rPr>
        </w:r>
        <w:r w:rsidR="001D65A9">
          <w:rPr>
            <w:noProof/>
            <w:webHidden/>
          </w:rPr>
          <w:fldChar w:fldCharType="separate"/>
        </w:r>
        <w:r w:rsidR="001D65A9">
          <w:rPr>
            <w:noProof/>
            <w:webHidden/>
          </w:rPr>
          <w:t>63</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53" w:history="1">
        <w:r w:rsidR="001D65A9" w:rsidRPr="00681E5D">
          <w:rPr>
            <w:rStyle w:val="-"/>
            <w:noProof/>
            <w:lang w:eastAsia="el-GR"/>
          </w:rPr>
          <w:t>4.1.1 Διαφορές και ομοιότητες σε παθολογικά χαρακτηριστικά</w:t>
        </w:r>
        <w:r w:rsidR="001D65A9">
          <w:rPr>
            <w:noProof/>
            <w:webHidden/>
          </w:rPr>
          <w:tab/>
        </w:r>
        <w:r w:rsidR="001D65A9">
          <w:rPr>
            <w:noProof/>
            <w:webHidden/>
          </w:rPr>
          <w:fldChar w:fldCharType="begin"/>
        </w:r>
        <w:r w:rsidR="001D65A9">
          <w:rPr>
            <w:noProof/>
            <w:webHidden/>
          </w:rPr>
          <w:instrText xml:space="preserve"> PAGEREF _Toc57241653 \h </w:instrText>
        </w:r>
        <w:r w:rsidR="001D65A9">
          <w:rPr>
            <w:noProof/>
            <w:webHidden/>
          </w:rPr>
        </w:r>
        <w:r w:rsidR="001D65A9">
          <w:rPr>
            <w:noProof/>
            <w:webHidden/>
          </w:rPr>
          <w:fldChar w:fldCharType="separate"/>
        </w:r>
        <w:r w:rsidR="001D65A9">
          <w:rPr>
            <w:noProof/>
            <w:webHidden/>
          </w:rPr>
          <w:t>66</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54" w:history="1">
        <w:r w:rsidR="001D65A9" w:rsidRPr="00681E5D">
          <w:rPr>
            <w:rStyle w:val="-"/>
            <w:noProof/>
            <w:lang w:eastAsia="el-GR"/>
          </w:rPr>
          <w:t>4.1.2 Διαφορές και ομοιότητες σε ακτινολογικά χαρακτηριστικά</w:t>
        </w:r>
        <w:r w:rsidR="001D65A9">
          <w:rPr>
            <w:noProof/>
            <w:webHidden/>
          </w:rPr>
          <w:tab/>
        </w:r>
        <w:r w:rsidR="001D65A9">
          <w:rPr>
            <w:noProof/>
            <w:webHidden/>
          </w:rPr>
          <w:fldChar w:fldCharType="begin"/>
        </w:r>
        <w:r w:rsidR="001D65A9">
          <w:rPr>
            <w:noProof/>
            <w:webHidden/>
          </w:rPr>
          <w:instrText xml:space="preserve"> PAGEREF _Toc57241654 \h </w:instrText>
        </w:r>
        <w:r w:rsidR="001D65A9">
          <w:rPr>
            <w:noProof/>
            <w:webHidden/>
          </w:rPr>
        </w:r>
        <w:r w:rsidR="001D65A9">
          <w:rPr>
            <w:noProof/>
            <w:webHidden/>
          </w:rPr>
          <w:fldChar w:fldCharType="separate"/>
        </w:r>
        <w:r w:rsidR="001D65A9">
          <w:rPr>
            <w:noProof/>
            <w:webHidden/>
          </w:rPr>
          <w:t>66</w:t>
        </w:r>
        <w:r w:rsidR="001D65A9">
          <w:rPr>
            <w:noProof/>
            <w:webHidden/>
          </w:rPr>
          <w:fldChar w:fldCharType="end"/>
        </w:r>
      </w:hyperlink>
    </w:p>
    <w:p w:rsidR="001D65A9" w:rsidRDefault="0079502A">
      <w:pPr>
        <w:pStyle w:val="30"/>
        <w:tabs>
          <w:tab w:val="right" w:leader="dot" w:pos="9060"/>
        </w:tabs>
        <w:rPr>
          <w:rFonts w:ascii="Calibri" w:eastAsia="Times New Roman" w:hAnsi="Calibri"/>
          <w:noProof/>
          <w:sz w:val="22"/>
          <w:lang w:eastAsia="el-GR"/>
        </w:rPr>
      </w:pPr>
      <w:hyperlink w:anchor="_Toc57241655" w:history="1">
        <w:r w:rsidR="001D65A9" w:rsidRPr="00681E5D">
          <w:rPr>
            <w:rStyle w:val="-"/>
            <w:noProof/>
            <w:lang w:eastAsia="el-GR"/>
          </w:rPr>
          <w:t>4.1.3 Διαφορές και ομοιότητες στα ανοσολογικά χαρακτηριστικά</w:t>
        </w:r>
        <w:r w:rsidR="001D65A9">
          <w:rPr>
            <w:noProof/>
            <w:webHidden/>
          </w:rPr>
          <w:tab/>
        </w:r>
        <w:r w:rsidR="001D65A9">
          <w:rPr>
            <w:noProof/>
            <w:webHidden/>
          </w:rPr>
          <w:fldChar w:fldCharType="begin"/>
        </w:r>
        <w:r w:rsidR="001D65A9">
          <w:rPr>
            <w:noProof/>
            <w:webHidden/>
          </w:rPr>
          <w:instrText xml:space="preserve"> PAGEREF _Toc57241655 \h </w:instrText>
        </w:r>
        <w:r w:rsidR="001D65A9">
          <w:rPr>
            <w:noProof/>
            <w:webHidden/>
          </w:rPr>
        </w:r>
        <w:r w:rsidR="001D65A9">
          <w:rPr>
            <w:noProof/>
            <w:webHidden/>
          </w:rPr>
          <w:fldChar w:fldCharType="separate"/>
        </w:r>
        <w:r w:rsidR="001D65A9">
          <w:rPr>
            <w:noProof/>
            <w:webHidden/>
          </w:rPr>
          <w:t>67</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56" w:history="1">
        <w:r w:rsidR="001D65A9" w:rsidRPr="00681E5D">
          <w:rPr>
            <w:rStyle w:val="-"/>
            <w:noProof/>
            <w:lang w:eastAsia="el-GR"/>
          </w:rPr>
          <w:t>ΚΕΦΑΛΑΙΟ 5</w:t>
        </w:r>
        <w:r w:rsidR="001D65A9" w:rsidRPr="00681E5D">
          <w:rPr>
            <w:rStyle w:val="-"/>
            <w:noProof/>
            <w:vertAlign w:val="superscript"/>
            <w:lang w:eastAsia="el-GR"/>
          </w:rPr>
          <w:t>ο</w:t>
        </w:r>
        <w:r w:rsidR="001D65A9" w:rsidRPr="00681E5D">
          <w:rPr>
            <w:rStyle w:val="-"/>
            <w:noProof/>
            <w:lang w:eastAsia="el-GR"/>
          </w:rPr>
          <w:t>: ΟΙΚΟΝΟΜΙΚΗ ΕΠΙΒΑΡΥΝΣΗ ΑΣΘΕΝΩΝ</w:t>
        </w:r>
        <w:r w:rsidR="001D65A9">
          <w:rPr>
            <w:noProof/>
            <w:webHidden/>
          </w:rPr>
          <w:tab/>
        </w:r>
        <w:r w:rsidR="001D65A9">
          <w:rPr>
            <w:noProof/>
            <w:webHidden/>
          </w:rPr>
          <w:fldChar w:fldCharType="begin"/>
        </w:r>
        <w:r w:rsidR="001D65A9">
          <w:rPr>
            <w:noProof/>
            <w:webHidden/>
          </w:rPr>
          <w:instrText xml:space="preserve"> PAGEREF _Toc57241656 \h </w:instrText>
        </w:r>
        <w:r w:rsidR="001D65A9">
          <w:rPr>
            <w:noProof/>
            <w:webHidden/>
          </w:rPr>
        </w:r>
        <w:r w:rsidR="001D65A9">
          <w:rPr>
            <w:noProof/>
            <w:webHidden/>
          </w:rPr>
          <w:fldChar w:fldCharType="separate"/>
        </w:r>
        <w:r w:rsidR="001D65A9">
          <w:rPr>
            <w:noProof/>
            <w:webHidden/>
          </w:rPr>
          <w:t>68</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57" w:history="1">
        <w:r w:rsidR="001D65A9" w:rsidRPr="00681E5D">
          <w:rPr>
            <w:rStyle w:val="-"/>
            <w:noProof/>
            <w:lang w:eastAsia="el-GR"/>
          </w:rPr>
          <w:t>ΕΠΙΛΟΓΟΣ</w:t>
        </w:r>
        <w:r w:rsidR="001D65A9">
          <w:rPr>
            <w:noProof/>
            <w:webHidden/>
          </w:rPr>
          <w:tab/>
        </w:r>
        <w:r w:rsidR="001D65A9">
          <w:rPr>
            <w:noProof/>
            <w:webHidden/>
          </w:rPr>
          <w:fldChar w:fldCharType="begin"/>
        </w:r>
        <w:r w:rsidR="001D65A9">
          <w:rPr>
            <w:noProof/>
            <w:webHidden/>
          </w:rPr>
          <w:instrText xml:space="preserve"> PAGEREF _Toc57241657 \h </w:instrText>
        </w:r>
        <w:r w:rsidR="001D65A9">
          <w:rPr>
            <w:noProof/>
            <w:webHidden/>
          </w:rPr>
        </w:r>
        <w:r w:rsidR="001D65A9">
          <w:rPr>
            <w:noProof/>
            <w:webHidden/>
          </w:rPr>
          <w:fldChar w:fldCharType="separate"/>
        </w:r>
        <w:r w:rsidR="001D65A9">
          <w:rPr>
            <w:noProof/>
            <w:webHidden/>
          </w:rPr>
          <w:t>74</w:t>
        </w:r>
        <w:r w:rsidR="001D65A9">
          <w:rPr>
            <w:noProof/>
            <w:webHidden/>
          </w:rPr>
          <w:fldChar w:fldCharType="end"/>
        </w:r>
      </w:hyperlink>
    </w:p>
    <w:p w:rsidR="001D65A9" w:rsidRDefault="0079502A">
      <w:pPr>
        <w:pStyle w:val="10"/>
        <w:tabs>
          <w:tab w:val="right" w:leader="dot" w:pos="9060"/>
        </w:tabs>
        <w:rPr>
          <w:rFonts w:ascii="Calibri" w:eastAsia="Times New Roman" w:hAnsi="Calibri"/>
          <w:noProof/>
          <w:sz w:val="22"/>
          <w:lang w:eastAsia="el-GR"/>
        </w:rPr>
      </w:pPr>
      <w:hyperlink w:anchor="_Toc57241658" w:history="1">
        <w:r w:rsidR="001D65A9" w:rsidRPr="00681E5D">
          <w:rPr>
            <w:rStyle w:val="-"/>
            <w:noProof/>
            <w:lang w:eastAsia="el-GR"/>
          </w:rPr>
          <w:t>ΒΙΒΛΙΟΓΡΑΦΙΑ</w:t>
        </w:r>
        <w:r w:rsidR="001D65A9">
          <w:rPr>
            <w:noProof/>
            <w:webHidden/>
          </w:rPr>
          <w:tab/>
        </w:r>
        <w:r w:rsidR="001D65A9">
          <w:rPr>
            <w:noProof/>
            <w:webHidden/>
          </w:rPr>
          <w:fldChar w:fldCharType="begin"/>
        </w:r>
        <w:r w:rsidR="001D65A9">
          <w:rPr>
            <w:noProof/>
            <w:webHidden/>
          </w:rPr>
          <w:instrText xml:space="preserve"> PAGEREF _Toc57241658 \h </w:instrText>
        </w:r>
        <w:r w:rsidR="001D65A9">
          <w:rPr>
            <w:noProof/>
            <w:webHidden/>
          </w:rPr>
        </w:r>
        <w:r w:rsidR="001D65A9">
          <w:rPr>
            <w:noProof/>
            <w:webHidden/>
          </w:rPr>
          <w:fldChar w:fldCharType="separate"/>
        </w:r>
        <w:r w:rsidR="001D65A9">
          <w:rPr>
            <w:noProof/>
            <w:webHidden/>
          </w:rPr>
          <w:t>76</w:t>
        </w:r>
        <w:r w:rsidR="001D65A9">
          <w:rPr>
            <w:noProof/>
            <w:webHidden/>
          </w:rPr>
          <w:fldChar w:fldCharType="end"/>
        </w:r>
      </w:hyperlink>
    </w:p>
    <w:p w:rsidR="00303663" w:rsidRPr="00FD70C9" w:rsidRDefault="00C3056B" w:rsidP="00240DB6">
      <w:pPr>
        <w:pStyle w:val="1"/>
        <w:rPr>
          <w:lang w:val="en-US" w:eastAsia="el-GR"/>
        </w:rPr>
      </w:pPr>
      <w:r>
        <w:rPr>
          <w:lang w:eastAsia="el-GR"/>
        </w:rPr>
        <w:fldChar w:fldCharType="end"/>
      </w:r>
    </w:p>
    <w:p w:rsidR="00303663" w:rsidRPr="00303663" w:rsidRDefault="00303663" w:rsidP="00303663">
      <w:pPr>
        <w:ind w:firstLine="0"/>
        <w:rPr>
          <w:b/>
          <w:lang w:eastAsia="el-GR"/>
        </w:rPr>
      </w:pPr>
      <w:r w:rsidRPr="00303663">
        <w:rPr>
          <w:b/>
          <w:lang w:eastAsia="el-GR"/>
        </w:rPr>
        <w:t>Λίστα Εικόνων</w:t>
      </w:r>
    </w:p>
    <w:p w:rsidR="001D65A9" w:rsidRDefault="00303663">
      <w:pPr>
        <w:pStyle w:val="a9"/>
        <w:tabs>
          <w:tab w:val="right" w:leader="dot" w:pos="9060"/>
        </w:tabs>
        <w:rPr>
          <w:rFonts w:ascii="Calibri" w:eastAsia="Times New Roman" w:hAnsi="Calibri"/>
          <w:noProof/>
          <w:sz w:val="22"/>
          <w:lang w:eastAsia="el-GR"/>
        </w:rPr>
      </w:pPr>
      <w:r>
        <w:rPr>
          <w:lang w:val="en-US" w:eastAsia="el-GR"/>
        </w:rPr>
        <w:fldChar w:fldCharType="begin"/>
      </w:r>
      <w:r>
        <w:rPr>
          <w:lang w:val="en-US" w:eastAsia="el-GR"/>
        </w:rPr>
        <w:instrText xml:space="preserve"> TOC \h \z \c "Εικόνα" </w:instrText>
      </w:r>
      <w:r>
        <w:rPr>
          <w:lang w:val="en-US" w:eastAsia="el-GR"/>
        </w:rPr>
        <w:fldChar w:fldCharType="separate"/>
      </w:r>
      <w:hyperlink w:anchor="_Toc57241659" w:history="1">
        <w:r w:rsidR="001D65A9" w:rsidRPr="00292E8A">
          <w:rPr>
            <w:rStyle w:val="-"/>
            <w:noProof/>
          </w:rPr>
          <w:t>Εικόνα 1: Οι Πιθανότητες Ανάπτυξης της Νόσου (Γενετικά Αίτια)</w:t>
        </w:r>
        <w:r w:rsidR="001D65A9">
          <w:rPr>
            <w:noProof/>
            <w:webHidden/>
          </w:rPr>
          <w:tab/>
        </w:r>
        <w:r w:rsidR="001D65A9">
          <w:rPr>
            <w:noProof/>
            <w:webHidden/>
          </w:rPr>
          <w:fldChar w:fldCharType="begin"/>
        </w:r>
        <w:r w:rsidR="001D65A9">
          <w:rPr>
            <w:noProof/>
            <w:webHidden/>
          </w:rPr>
          <w:instrText xml:space="preserve"> PAGEREF _Toc57241659 \h </w:instrText>
        </w:r>
        <w:r w:rsidR="001D65A9">
          <w:rPr>
            <w:noProof/>
            <w:webHidden/>
          </w:rPr>
        </w:r>
        <w:r w:rsidR="001D65A9">
          <w:rPr>
            <w:noProof/>
            <w:webHidden/>
          </w:rPr>
          <w:fldChar w:fldCharType="separate"/>
        </w:r>
        <w:r w:rsidR="001D65A9">
          <w:rPr>
            <w:noProof/>
            <w:webHidden/>
          </w:rPr>
          <w:t>24</w:t>
        </w:r>
        <w:r w:rsidR="001D65A9">
          <w:rPr>
            <w:noProof/>
            <w:webHidden/>
          </w:rPr>
          <w:fldChar w:fldCharType="end"/>
        </w:r>
      </w:hyperlink>
    </w:p>
    <w:p w:rsidR="001D65A9" w:rsidRDefault="0079502A">
      <w:pPr>
        <w:pStyle w:val="a9"/>
        <w:tabs>
          <w:tab w:val="right" w:leader="dot" w:pos="9060"/>
        </w:tabs>
        <w:rPr>
          <w:rFonts w:ascii="Calibri" w:eastAsia="Times New Roman" w:hAnsi="Calibri"/>
          <w:noProof/>
          <w:sz w:val="22"/>
          <w:lang w:eastAsia="el-GR"/>
        </w:rPr>
      </w:pPr>
      <w:hyperlink w:anchor="_Toc57241660" w:history="1">
        <w:r w:rsidR="001D65A9" w:rsidRPr="00292E8A">
          <w:rPr>
            <w:rStyle w:val="-"/>
            <w:noProof/>
          </w:rPr>
          <w:t>Εικόνα 2: Παρουσίαση υγιούς και επηρεασμένου από ΠΣ ανθρώπινου νεύρου</w:t>
        </w:r>
        <w:r w:rsidR="001D65A9">
          <w:rPr>
            <w:noProof/>
            <w:webHidden/>
          </w:rPr>
          <w:tab/>
        </w:r>
        <w:r w:rsidR="001D65A9">
          <w:rPr>
            <w:noProof/>
            <w:webHidden/>
          </w:rPr>
          <w:fldChar w:fldCharType="begin"/>
        </w:r>
        <w:r w:rsidR="001D65A9">
          <w:rPr>
            <w:noProof/>
            <w:webHidden/>
          </w:rPr>
          <w:instrText xml:space="preserve"> PAGEREF _Toc57241660 \h </w:instrText>
        </w:r>
        <w:r w:rsidR="001D65A9">
          <w:rPr>
            <w:noProof/>
            <w:webHidden/>
          </w:rPr>
        </w:r>
        <w:r w:rsidR="001D65A9">
          <w:rPr>
            <w:noProof/>
            <w:webHidden/>
          </w:rPr>
          <w:fldChar w:fldCharType="separate"/>
        </w:r>
        <w:r w:rsidR="001D65A9">
          <w:rPr>
            <w:noProof/>
            <w:webHidden/>
          </w:rPr>
          <w:t>31</w:t>
        </w:r>
        <w:r w:rsidR="001D65A9">
          <w:rPr>
            <w:noProof/>
            <w:webHidden/>
          </w:rPr>
          <w:fldChar w:fldCharType="end"/>
        </w:r>
      </w:hyperlink>
    </w:p>
    <w:p w:rsidR="001D65A9" w:rsidRDefault="0079502A">
      <w:pPr>
        <w:pStyle w:val="a9"/>
        <w:tabs>
          <w:tab w:val="right" w:leader="dot" w:pos="9060"/>
        </w:tabs>
        <w:rPr>
          <w:rFonts w:ascii="Calibri" w:eastAsia="Times New Roman" w:hAnsi="Calibri"/>
          <w:noProof/>
          <w:sz w:val="22"/>
          <w:lang w:eastAsia="el-GR"/>
        </w:rPr>
      </w:pPr>
      <w:hyperlink w:anchor="_Toc57241661" w:history="1">
        <w:r w:rsidR="001D65A9" w:rsidRPr="00292E8A">
          <w:rPr>
            <w:rStyle w:val="-"/>
            <w:noProof/>
          </w:rPr>
          <w:t xml:space="preserve">Εικόνα 3: Συσχέτιση αναπηρίας και χρόνου υποτροπών </w:t>
        </w:r>
        <w:r w:rsidR="001D65A9" w:rsidRPr="00292E8A">
          <w:rPr>
            <w:rStyle w:val="-"/>
            <w:noProof/>
            <w:lang w:val="en-US"/>
          </w:rPr>
          <w:t>RRMS</w:t>
        </w:r>
        <w:r w:rsidR="001D65A9">
          <w:rPr>
            <w:noProof/>
            <w:webHidden/>
          </w:rPr>
          <w:tab/>
        </w:r>
        <w:r w:rsidR="001D65A9">
          <w:rPr>
            <w:noProof/>
            <w:webHidden/>
          </w:rPr>
          <w:fldChar w:fldCharType="begin"/>
        </w:r>
        <w:r w:rsidR="001D65A9">
          <w:rPr>
            <w:noProof/>
            <w:webHidden/>
          </w:rPr>
          <w:instrText xml:space="preserve"> PAGEREF _Toc57241661 \h </w:instrText>
        </w:r>
        <w:r w:rsidR="001D65A9">
          <w:rPr>
            <w:noProof/>
            <w:webHidden/>
          </w:rPr>
        </w:r>
        <w:r w:rsidR="001D65A9">
          <w:rPr>
            <w:noProof/>
            <w:webHidden/>
          </w:rPr>
          <w:fldChar w:fldCharType="separate"/>
        </w:r>
        <w:r w:rsidR="001D65A9">
          <w:rPr>
            <w:noProof/>
            <w:webHidden/>
          </w:rPr>
          <w:t>33</w:t>
        </w:r>
        <w:r w:rsidR="001D65A9">
          <w:rPr>
            <w:noProof/>
            <w:webHidden/>
          </w:rPr>
          <w:fldChar w:fldCharType="end"/>
        </w:r>
      </w:hyperlink>
    </w:p>
    <w:p w:rsidR="001D65A9" w:rsidRDefault="0079502A">
      <w:pPr>
        <w:pStyle w:val="a9"/>
        <w:tabs>
          <w:tab w:val="right" w:leader="dot" w:pos="9060"/>
        </w:tabs>
        <w:rPr>
          <w:rFonts w:ascii="Calibri" w:eastAsia="Times New Roman" w:hAnsi="Calibri"/>
          <w:noProof/>
          <w:sz w:val="22"/>
          <w:lang w:eastAsia="el-GR"/>
        </w:rPr>
      </w:pPr>
      <w:hyperlink w:anchor="_Toc57241662" w:history="1">
        <w:r w:rsidR="001D65A9" w:rsidRPr="00292E8A">
          <w:rPr>
            <w:rStyle w:val="-"/>
            <w:noProof/>
          </w:rPr>
          <w:t xml:space="preserve">Εικόνα 4: Συσχέτιση αναπηρίας και χρόνου υποτροπών </w:t>
        </w:r>
        <w:r w:rsidR="001D65A9" w:rsidRPr="00292E8A">
          <w:rPr>
            <w:rStyle w:val="-"/>
            <w:noProof/>
            <w:lang w:val="en-US"/>
          </w:rPr>
          <w:t>PPMS</w:t>
        </w:r>
        <w:r w:rsidR="001D65A9">
          <w:rPr>
            <w:noProof/>
            <w:webHidden/>
          </w:rPr>
          <w:tab/>
        </w:r>
        <w:r w:rsidR="001D65A9">
          <w:rPr>
            <w:noProof/>
            <w:webHidden/>
          </w:rPr>
          <w:fldChar w:fldCharType="begin"/>
        </w:r>
        <w:r w:rsidR="001D65A9">
          <w:rPr>
            <w:noProof/>
            <w:webHidden/>
          </w:rPr>
          <w:instrText xml:space="preserve"> PAGEREF _Toc57241662 \h </w:instrText>
        </w:r>
        <w:r w:rsidR="001D65A9">
          <w:rPr>
            <w:noProof/>
            <w:webHidden/>
          </w:rPr>
        </w:r>
        <w:r w:rsidR="001D65A9">
          <w:rPr>
            <w:noProof/>
            <w:webHidden/>
          </w:rPr>
          <w:fldChar w:fldCharType="separate"/>
        </w:r>
        <w:r w:rsidR="001D65A9">
          <w:rPr>
            <w:noProof/>
            <w:webHidden/>
          </w:rPr>
          <w:t>34</w:t>
        </w:r>
        <w:r w:rsidR="001D65A9">
          <w:rPr>
            <w:noProof/>
            <w:webHidden/>
          </w:rPr>
          <w:fldChar w:fldCharType="end"/>
        </w:r>
      </w:hyperlink>
    </w:p>
    <w:p w:rsidR="00303663" w:rsidRDefault="00303663" w:rsidP="00303663">
      <w:pPr>
        <w:rPr>
          <w:lang w:eastAsia="el-GR"/>
        </w:rPr>
      </w:pPr>
      <w:r>
        <w:rPr>
          <w:lang w:val="en-US" w:eastAsia="el-GR"/>
        </w:rPr>
        <w:fldChar w:fldCharType="end"/>
      </w:r>
    </w:p>
    <w:p w:rsidR="008F4606" w:rsidRDefault="008F4606" w:rsidP="008F4606">
      <w:pPr>
        <w:ind w:firstLine="0"/>
        <w:rPr>
          <w:b/>
          <w:lang w:eastAsia="el-GR"/>
        </w:rPr>
      </w:pPr>
      <w:r w:rsidRPr="008F4606">
        <w:rPr>
          <w:b/>
          <w:lang w:eastAsia="el-GR"/>
        </w:rPr>
        <w:t>Λίστα Πινάκων</w:t>
      </w:r>
    </w:p>
    <w:p w:rsidR="001D65A9" w:rsidRDefault="008F4606">
      <w:pPr>
        <w:pStyle w:val="a9"/>
        <w:tabs>
          <w:tab w:val="right" w:leader="dot" w:pos="9060"/>
        </w:tabs>
        <w:rPr>
          <w:rFonts w:ascii="Calibri" w:eastAsia="Times New Roman" w:hAnsi="Calibri"/>
          <w:noProof/>
          <w:sz w:val="22"/>
          <w:lang w:eastAsia="el-GR"/>
        </w:rPr>
      </w:pPr>
      <w:r>
        <w:rPr>
          <w:rStyle w:val="-"/>
          <w:b/>
          <w:bCs/>
          <w:noProof/>
        </w:rPr>
        <w:fldChar w:fldCharType="begin"/>
      </w:r>
      <w:r>
        <w:rPr>
          <w:rStyle w:val="-"/>
          <w:b/>
          <w:bCs/>
          <w:noProof/>
        </w:rPr>
        <w:instrText xml:space="preserve"> TOC \h \z \c "Πίνακας" </w:instrText>
      </w:r>
      <w:r>
        <w:rPr>
          <w:rStyle w:val="-"/>
          <w:b/>
          <w:bCs/>
          <w:noProof/>
        </w:rPr>
        <w:fldChar w:fldCharType="separate"/>
      </w:r>
      <w:hyperlink w:anchor="_Toc57241663" w:history="1">
        <w:r w:rsidR="001D65A9" w:rsidRPr="0079036D">
          <w:rPr>
            <w:rStyle w:val="-"/>
            <w:noProof/>
          </w:rPr>
          <w:t xml:space="preserve">Πίνακας 1: Διαφοροποίηση χαρακτηριστικών της </w:t>
        </w:r>
        <w:r w:rsidR="001D65A9" w:rsidRPr="0079036D">
          <w:rPr>
            <w:rStyle w:val="-"/>
            <w:noProof/>
            <w:lang w:val="en-US"/>
          </w:rPr>
          <w:t>MS</w:t>
        </w:r>
        <w:r w:rsidR="001D65A9" w:rsidRPr="0079036D">
          <w:rPr>
            <w:rStyle w:val="-"/>
            <w:noProof/>
          </w:rPr>
          <w:t xml:space="preserve"> και της </w:t>
        </w:r>
        <w:r w:rsidR="001D65A9" w:rsidRPr="0079036D">
          <w:rPr>
            <w:rStyle w:val="-"/>
            <w:noProof/>
            <w:lang w:val="en-US"/>
          </w:rPr>
          <w:t>NMOSD</w:t>
        </w:r>
        <w:r w:rsidR="001D65A9">
          <w:rPr>
            <w:noProof/>
            <w:webHidden/>
          </w:rPr>
          <w:tab/>
        </w:r>
        <w:r w:rsidR="001D65A9">
          <w:rPr>
            <w:noProof/>
            <w:webHidden/>
          </w:rPr>
          <w:fldChar w:fldCharType="begin"/>
        </w:r>
        <w:r w:rsidR="001D65A9">
          <w:rPr>
            <w:noProof/>
            <w:webHidden/>
          </w:rPr>
          <w:instrText xml:space="preserve"> PAGEREF _Toc57241663 \h </w:instrText>
        </w:r>
        <w:r w:rsidR="001D65A9">
          <w:rPr>
            <w:noProof/>
            <w:webHidden/>
          </w:rPr>
        </w:r>
        <w:r w:rsidR="001D65A9">
          <w:rPr>
            <w:noProof/>
            <w:webHidden/>
          </w:rPr>
          <w:fldChar w:fldCharType="separate"/>
        </w:r>
        <w:r w:rsidR="001D65A9">
          <w:rPr>
            <w:noProof/>
            <w:webHidden/>
          </w:rPr>
          <w:t>63</w:t>
        </w:r>
        <w:r w:rsidR="001D65A9">
          <w:rPr>
            <w:noProof/>
            <w:webHidden/>
          </w:rPr>
          <w:fldChar w:fldCharType="end"/>
        </w:r>
      </w:hyperlink>
    </w:p>
    <w:p w:rsidR="00A50CA8" w:rsidRPr="00A50CA8" w:rsidRDefault="008F4606" w:rsidP="00240DB6">
      <w:pPr>
        <w:pStyle w:val="1"/>
        <w:rPr>
          <w:lang w:eastAsia="el-GR"/>
        </w:rPr>
      </w:pPr>
      <w:r>
        <w:rPr>
          <w:rStyle w:val="-"/>
          <w:rFonts w:eastAsia="Calibri"/>
          <w:b w:val="0"/>
          <w:bCs w:val="0"/>
          <w:noProof/>
          <w:kern w:val="0"/>
          <w:sz w:val="24"/>
          <w:szCs w:val="22"/>
        </w:rPr>
        <w:fldChar w:fldCharType="end"/>
      </w:r>
      <w:r w:rsidR="00C3056B">
        <w:rPr>
          <w:lang w:eastAsia="el-GR"/>
        </w:rPr>
        <w:br w:type="page"/>
      </w:r>
      <w:bookmarkStart w:id="0" w:name="_Toc57241606"/>
      <w:r w:rsidR="00A50CA8" w:rsidRPr="00A50CA8">
        <w:rPr>
          <w:lang w:eastAsia="el-GR"/>
        </w:rPr>
        <w:lastRenderedPageBreak/>
        <w:t>ΠΕΡΙΛΗΨΗ</w:t>
      </w:r>
      <w:bookmarkEnd w:id="0"/>
    </w:p>
    <w:p w:rsidR="00516ACD" w:rsidRPr="00516ACD" w:rsidRDefault="00516ACD" w:rsidP="00516ACD">
      <w:pPr>
        <w:rPr>
          <w:rStyle w:val="a7"/>
          <w:i w:val="0"/>
        </w:rPr>
      </w:pPr>
      <w:r w:rsidRPr="00516ACD">
        <w:rPr>
          <w:rStyle w:val="a7"/>
          <w:i w:val="0"/>
        </w:rPr>
        <w:t xml:space="preserve">Η εν λόγω εργασία εκπονείται στα πλαίσια απόκτησης μεταπτυχιακού τίτλου του </w:t>
      </w:r>
      <w:proofErr w:type="spellStart"/>
      <w:r w:rsidRPr="00516ACD">
        <w:rPr>
          <w:rStyle w:val="a7"/>
          <w:i w:val="0"/>
        </w:rPr>
        <w:t>Διατμηματικού</w:t>
      </w:r>
      <w:proofErr w:type="spellEnd"/>
      <w:r w:rsidRPr="00516ACD">
        <w:rPr>
          <w:rStyle w:val="a7"/>
          <w:i w:val="0"/>
        </w:rPr>
        <w:t xml:space="preserve"> Προγράμματος Μεταπτυχιακών Σπουδών στη Διοίκηση Μονάδων Υγείας και Πρόνοιας. </w:t>
      </w:r>
      <w:r>
        <w:rPr>
          <w:rStyle w:val="tlid-translation"/>
          <w:szCs w:val="24"/>
        </w:rPr>
        <w:t xml:space="preserve">Η παρούσα εργασία λειτούργησε με την μέθοδο της δευτερογενούς παρουσίασης δεδομένων διότι η επικρατούσα κατάσταση λόγω της πανδημίας </w:t>
      </w:r>
      <w:r>
        <w:rPr>
          <w:rStyle w:val="tlid-translation"/>
          <w:szCs w:val="24"/>
          <w:lang w:val="en-US"/>
        </w:rPr>
        <w:t>Covid</w:t>
      </w:r>
      <w:r w:rsidRPr="001350DF">
        <w:rPr>
          <w:rStyle w:val="tlid-translation"/>
          <w:szCs w:val="24"/>
        </w:rPr>
        <w:t>-19</w:t>
      </w:r>
      <w:r>
        <w:rPr>
          <w:rStyle w:val="tlid-translation"/>
          <w:szCs w:val="24"/>
        </w:rPr>
        <w:t xml:space="preserve"> διεθνώς αλλά και στη χώρα μας, δεν επέτρεψε την εκπόνηση έρευνας με τη χρήση ερωτηματολογίων ή συνεντεύξεων. Για το λόγο αυτό, λοιπόν, η εργασία βασίζεται σε βιβλιογραφικά δεδομένα από ελληνική και ξένη αρθρογραφία. Η εργασία πραγματεύεται δύο ιδιαίτερα σημαντικές νόσους που καταγράφουν έντονη την παρουσία τους διεθνώς αλλά και στη χώρα μας. Η πρώτη είναι η πολλαπλή σκλήρυνση και η δεύτερη είναι η οπτική νευρομυελίτιδα. Καταγράφεται η παρουσίαση αυτών των νόσων καθώς ακολουθεί και η σύγκριση μεταξύ τους στο πλαίσιο συμπτωμάτων αλλά και θεραπείας μέσα από μία σειρά διεθνών ερευνών.</w:t>
      </w:r>
      <w:r w:rsidR="00C44E95">
        <w:rPr>
          <w:rStyle w:val="tlid-translation"/>
          <w:szCs w:val="24"/>
        </w:rPr>
        <w:t xml:space="preserve"> Ο σκοπός της εργασίας είναι να παρουσιάσει </w:t>
      </w:r>
      <w:r w:rsidR="004C5B90">
        <w:rPr>
          <w:rStyle w:val="tlid-translation"/>
          <w:szCs w:val="24"/>
        </w:rPr>
        <w:t xml:space="preserve">τα νέα δεδομένα που σχετίζονται με τις δύο ασθένειες σε επίπεδο συμπτωμάτων και θεραπευτικής αντιμετώπισης. Παράλληλα, έχει στόχο να τονίσει το κενό στην έρευνα σχετικά με τον οικονομικό αντίκτυπο της πολλαπλής σκλήρυνσης στην Ελλάδα παρουσιάζοντας μικρή ποσότητα δεδομένων και συγκρίνοντας αυτά με ευρήματα αντίστοιχων ερευνών που εκπονήθηκαν σε άλλες χώρες της Ευρώπης. Παρουσιάζεται συμπερασματικά η σημαντικότητα της συμβολής της διαχείρισης της νόσου </w:t>
      </w:r>
      <w:r w:rsidR="00F875F0">
        <w:rPr>
          <w:rStyle w:val="tlid-translation"/>
          <w:szCs w:val="24"/>
        </w:rPr>
        <w:t xml:space="preserve">στην </w:t>
      </w:r>
      <w:r w:rsidR="004C5B90">
        <w:rPr>
          <w:rStyle w:val="tlid-translation"/>
          <w:szCs w:val="24"/>
        </w:rPr>
        <w:t>προαγωγή της υγείας των ασθενών από την κρατική ενίσχυση και η οικονομική επίπτωση που φέρει στον ασθενή και στην οικογένειά του.</w:t>
      </w:r>
    </w:p>
    <w:p w:rsidR="00516ACD" w:rsidRPr="00516ACD" w:rsidRDefault="00516ACD" w:rsidP="00A50CA8">
      <w:pPr>
        <w:pStyle w:val="1"/>
        <w:rPr>
          <w:rStyle w:val="tlid-translation"/>
          <w:rFonts w:eastAsia="Calibri"/>
          <w:b w:val="0"/>
          <w:bCs w:val="0"/>
          <w:kern w:val="0"/>
          <w:sz w:val="24"/>
          <w:szCs w:val="22"/>
        </w:rPr>
      </w:pPr>
    </w:p>
    <w:p w:rsidR="00516ACD" w:rsidRPr="00516ACD" w:rsidRDefault="00516ACD" w:rsidP="00A50CA8">
      <w:pPr>
        <w:pStyle w:val="1"/>
        <w:rPr>
          <w:rStyle w:val="tlid-translation"/>
          <w:rFonts w:eastAsia="Calibri"/>
          <w:b w:val="0"/>
          <w:bCs w:val="0"/>
          <w:kern w:val="0"/>
          <w:sz w:val="24"/>
          <w:szCs w:val="22"/>
        </w:rPr>
      </w:pPr>
    </w:p>
    <w:p w:rsidR="00303663" w:rsidRPr="008F62AA" w:rsidRDefault="00516ACD" w:rsidP="00A50CA8">
      <w:pPr>
        <w:pStyle w:val="1"/>
        <w:rPr>
          <w:lang w:val="en-US" w:eastAsia="el-GR"/>
        </w:rPr>
      </w:pPr>
      <w:r w:rsidRPr="00516ACD">
        <w:rPr>
          <w:rStyle w:val="tlid-translation"/>
          <w:rFonts w:eastAsia="Calibri"/>
          <w:b w:val="0"/>
          <w:bCs w:val="0"/>
          <w:kern w:val="0"/>
          <w:sz w:val="24"/>
          <w:szCs w:val="22"/>
        </w:rPr>
        <w:t xml:space="preserve"> </w:t>
      </w:r>
      <w:r w:rsidR="00C3056B" w:rsidRPr="001D65A9">
        <w:rPr>
          <w:rStyle w:val="tlid-translation"/>
          <w:rFonts w:eastAsia="Calibri"/>
          <w:b w:val="0"/>
          <w:bCs w:val="0"/>
          <w:kern w:val="0"/>
          <w:sz w:val="24"/>
          <w:szCs w:val="22"/>
          <w:lang w:val="en-US"/>
        </w:rPr>
        <w:br w:type="page"/>
      </w:r>
      <w:bookmarkStart w:id="1" w:name="_Toc57241607"/>
      <w:bookmarkStart w:id="2" w:name="_Toc57241608"/>
      <w:r w:rsidR="00A50CA8" w:rsidRPr="00A50CA8">
        <w:rPr>
          <w:lang w:val="en-US" w:eastAsia="el-GR"/>
        </w:rPr>
        <w:lastRenderedPageBreak/>
        <w:t>ABSTRACT</w:t>
      </w:r>
      <w:bookmarkEnd w:id="1"/>
      <w:bookmarkEnd w:id="2"/>
    </w:p>
    <w:p w:rsidR="004C5B90" w:rsidRPr="004C5B90" w:rsidRDefault="004C5B90" w:rsidP="004C5B90">
      <w:pPr>
        <w:rPr>
          <w:lang w:val="en-US" w:eastAsia="el-GR"/>
        </w:rPr>
      </w:pPr>
      <w:r>
        <w:rPr>
          <w:rStyle w:val="tlid-translation"/>
          <w:lang w:val="en"/>
        </w:rPr>
        <w:t xml:space="preserve">This </w:t>
      </w:r>
      <w:r>
        <w:rPr>
          <w:rStyle w:val="tlid-translation"/>
          <w:lang w:val="en-US"/>
        </w:rPr>
        <w:t>dissertation</w:t>
      </w:r>
      <w:r>
        <w:rPr>
          <w:rStyle w:val="tlid-translation"/>
          <w:lang w:val="en"/>
        </w:rPr>
        <w:t xml:space="preserve"> is submitted in the context of obtaining a postgraduate degree of the Postgraduate Studies Program in the Management of Health and Welfare Units. The present dissertation is based on </w:t>
      </w:r>
      <w:r w:rsidR="00160FD5">
        <w:rPr>
          <w:rStyle w:val="tlid-translation"/>
          <w:lang w:val="en"/>
        </w:rPr>
        <w:t>presenting</w:t>
      </w:r>
      <w:r>
        <w:rPr>
          <w:rStyle w:val="tlid-translation"/>
          <w:lang w:val="en"/>
        </w:rPr>
        <w:t xml:space="preserve"> secondary data </w:t>
      </w:r>
      <w:r w:rsidR="00160FD5">
        <w:rPr>
          <w:rStyle w:val="tlid-translation"/>
          <w:lang w:val="en"/>
        </w:rPr>
        <w:t>method due to</w:t>
      </w:r>
      <w:r>
        <w:rPr>
          <w:rStyle w:val="tlid-translation"/>
          <w:lang w:val="en"/>
        </w:rPr>
        <w:t xml:space="preserve"> the prevailing situation </w:t>
      </w:r>
      <w:r w:rsidR="00160FD5">
        <w:rPr>
          <w:rStyle w:val="tlid-translation"/>
          <w:lang w:val="en"/>
        </w:rPr>
        <w:t>of</w:t>
      </w:r>
      <w:r>
        <w:rPr>
          <w:rStyle w:val="tlid-translation"/>
          <w:lang w:val="en"/>
        </w:rPr>
        <w:t xml:space="preserve"> the Covid-19 </w:t>
      </w:r>
      <w:r w:rsidR="00160FD5">
        <w:rPr>
          <w:rStyle w:val="tlid-translation"/>
          <w:lang w:val="en"/>
        </w:rPr>
        <w:t xml:space="preserve">international </w:t>
      </w:r>
      <w:r>
        <w:rPr>
          <w:rStyle w:val="tlid-translation"/>
          <w:lang w:val="en"/>
        </w:rPr>
        <w:t>pandemic</w:t>
      </w:r>
      <w:r w:rsidR="00160FD5">
        <w:rPr>
          <w:rStyle w:val="tlid-translation"/>
          <w:lang w:val="en"/>
        </w:rPr>
        <w:t xml:space="preserve"> which affected </w:t>
      </w:r>
      <w:r>
        <w:rPr>
          <w:rStyle w:val="tlid-translation"/>
          <w:lang w:val="en"/>
        </w:rPr>
        <w:t>our country,</w:t>
      </w:r>
      <w:r w:rsidR="00160FD5">
        <w:rPr>
          <w:rStyle w:val="tlid-translation"/>
          <w:lang w:val="en"/>
        </w:rPr>
        <w:t xml:space="preserve"> too. This situation</w:t>
      </w:r>
      <w:r>
        <w:rPr>
          <w:rStyle w:val="tlid-translation"/>
          <w:lang w:val="en"/>
        </w:rPr>
        <w:t xml:space="preserve"> did not allow the conduct</w:t>
      </w:r>
      <w:r w:rsidR="00160FD5">
        <w:rPr>
          <w:rStyle w:val="tlid-translation"/>
          <w:lang w:val="en"/>
        </w:rPr>
        <w:t>ion</w:t>
      </w:r>
      <w:r>
        <w:rPr>
          <w:rStyle w:val="tlid-translation"/>
          <w:lang w:val="en"/>
        </w:rPr>
        <w:t xml:space="preserve"> of</w:t>
      </w:r>
      <w:r w:rsidR="00160FD5">
        <w:rPr>
          <w:rStyle w:val="tlid-translation"/>
          <w:lang w:val="en"/>
        </w:rPr>
        <w:t xml:space="preserve"> the</w:t>
      </w:r>
      <w:r>
        <w:rPr>
          <w:rStyle w:val="tlid-translation"/>
          <w:lang w:val="en"/>
        </w:rPr>
        <w:t xml:space="preserve"> research </w:t>
      </w:r>
      <w:r w:rsidR="00160FD5">
        <w:rPr>
          <w:rStyle w:val="tlid-translation"/>
          <w:lang w:val="en"/>
        </w:rPr>
        <w:t xml:space="preserve">by </w:t>
      </w:r>
      <w:r>
        <w:rPr>
          <w:rStyle w:val="tlid-translation"/>
          <w:lang w:val="en"/>
        </w:rPr>
        <w:t xml:space="preserve">using questionnaires or interviews. For this reason, the work is based on </w:t>
      </w:r>
      <w:r w:rsidR="00160FD5">
        <w:rPr>
          <w:rStyle w:val="tlid-translation"/>
          <w:lang w:val="en"/>
        </w:rPr>
        <w:t>references</w:t>
      </w:r>
      <w:r>
        <w:rPr>
          <w:rStyle w:val="tlid-translation"/>
          <w:lang w:val="en"/>
        </w:rPr>
        <w:t xml:space="preserve"> from Greek and foreign </w:t>
      </w:r>
      <w:r w:rsidR="00160FD5">
        <w:rPr>
          <w:rStyle w:val="tlid-translation"/>
          <w:lang w:val="en"/>
        </w:rPr>
        <w:t>journals and books</w:t>
      </w:r>
      <w:r>
        <w:rPr>
          <w:rStyle w:val="tlid-translation"/>
          <w:lang w:val="en"/>
        </w:rPr>
        <w:t xml:space="preserve">. The </w:t>
      </w:r>
      <w:r w:rsidR="00160FD5">
        <w:rPr>
          <w:rStyle w:val="tlid-translation"/>
          <w:lang w:val="en"/>
        </w:rPr>
        <w:t>dissertation</w:t>
      </w:r>
      <w:r>
        <w:rPr>
          <w:rStyle w:val="tlid-translation"/>
          <w:lang w:val="en"/>
        </w:rPr>
        <w:t xml:space="preserve"> deals with two very important diseases that record a strong presence internationally and in our country</w:t>
      </w:r>
      <w:r w:rsidR="00160FD5">
        <w:rPr>
          <w:rStyle w:val="tlid-translation"/>
          <w:lang w:val="en"/>
        </w:rPr>
        <w:t>, as well</w:t>
      </w:r>
      <w:r>
        <w:rPr>
          <w:rStyle w:val="tlid-translation"/>
          <w:lang w:val="en"/>
        </w:rPr>
        <w:t>. The first is multiple sclerosis and the second is optic neuromyelitis. The presentation of these diseases is recorded as the comparison between them in terms of symptoms and treatment through a series of international studies</w:t>
      </w:r>
      <w:r w:rsidR="00160FD5" w:rsidRPr="00160FD5">
        <w:rPr>
          <w:rStyle w:val="tlid-translation"/>
          <w:lang w:val="en"/>
        </w:rPr>
        <w:t xml:space="preserve"> </w:t>
      </w:r>
      <w:r w:rsidR="00160FD5">
        <w:rPr>
          <w:rStyle w:val="tlid-translation"/>
          <w:lang w:val="en"/>
        </w:rPr>
        <w:t>follows</w:t>
      </w:r>
      <w:r>
        <w:rPr>
          <w:rStyle w:val="tlid-translation"/>
          <w:lang w:val="en"/>
        </w:rPr>
        <w:t xml:space="preserve">. The </w:t>
      </w:r>
      <w:r w:rsidR="00160FD5">
        <w:rPr>
          <w:rStyle w:val="tlid-translation"/>
          <w:lang w:val="en"/>
        </w:rPr>
        <w:t>aim</w:t>
      </w:r>
      <w:r>
        <w:rPr>
          <w:rStyle w:val="tlid-translation"/>
          <w:lang w:val="en"/>
        </w:rPr>
        <w:t xml:space="preserve"> of th</w:t>
      </w:r>
      <w:r w:rsidR="00160FD5">
        <w:rPr>
          <w:rStyle w:val="tlid-translation"/>
          <w:lang w:val="en"/>
        </w:rPr>
        <w:t>e</w:t>
      </w:r>
      <w:r>
        <w:rPr>
          <w:rStyle w:val="tlid-translation"/>
          <w:lang w:val="en"/>
        </w:rPr>
        <w:t xml:space="preserve"> </w:t>
      </w:r>
      <w:r w:rsidR="00160FD5">
        <w:rPr>
          <w:rStyle w:val="tlid-translation"/>
          <w:lang w:val="en"/>
        </w:rPr>
        <w:t>dissertation</w:t>
      </w:r>
      <w:r>
        <w:rPr>
          <w:rStyle w:val="tlid-translation"/>
          <w:lang w:val="en"/>
        </w:rPr>
        <w:t xml:space="preserve"> is to present the new data related to the two diseases in terms of symptom</w:t>
      </w:r>
      <w:r w:rsidR="00160FD5">
        <w:rPr>
          <w:rStyle w:val="tlid-translation"/>
          <w:lang w:val="en"/>
        </w:rPr>
        <w:t>s</w:t>
      </w:r>
      <w:r>
        <w:rPr>
          <w:rStyle w:val="tlid-translation"/>
          <w:lang w:val="en"/>
        </w:rPr>
        <w:t xml:space="preserve"> and treatment. At the same time, it aims to highlight the gap in research on the economic impact of multiple sclerosis in Greece by presenting </w:t>
      </w:r>
      <w:r w:rsidR="00160FD5">
        <w:rPr>
          <w:rStyle w:val="tlid-translation"/>
          <w:lang w:val="en"/>
        </w:rPr>
        <w:t xml:space="preserve">only </w:t>
      </w:r>
      <w:r w:rsidR="00F875F0">
        <w:rPr>
          <w:rStyle w:val="tlid-translation"/>
          <w:lang w:val="en-US"/>
        </w:rPr>
        <w:t xml:space="preserve">minimum </w:t>
      </w:r>
      <w:r>
        <w:rPr>
          <w:rStyle w:val="tlid-translation"/>
          <w:lang w:val="en"/>
        </w:rPr>
        <w:t xml:space="preserve">data and </w:t>
      </w:r>
      <w:r w:rsidR="00F875F0">
        <w:rPr>
          <w:rStyle w:val="tlid-translation"/>
          <w:lang w:val="en"/>
        </w:rPr>
        <w:t xml:space="preserve">by </w:t>
      </w:r>
      <w:r>
        <w:rPr>
          <w:rStyle w:val="tlid-translation"/>
          <w:lang w:val="en"/>
        </w:rPr>
        <w:t xml:space="preserve">comparing </w:t>
      </w:r>
      <w:r w:rsidR="00F875F0">
        <w:rPr>
          <w:rStyle w:val="tlid-translation"/>
          <w:lang w:val="en"/>
        </w:rPr>
        <w:t>them</w:t>
      </w:r>
      <w:r>
        <w:rPr>
          <w:rStyle w:val="tlid-translation"/>
          <w:lang w:val="en"/>
        </w:rPr>
        <w:t xml:space="preserve"> with findings from similar studies conducted in other European countries. </w:t>
      </w:r>
      <w:r w:rsidR="00F875F0">
        <w:rPr>
          <w:rStyle w:val="tlid-translation"/>
          <w:lang w:val="en"/>
        </w:rPr>
        <w:t>In conclusion, t</w:t>
      </w:r>
      <w:r>
        <w:rPr>
          <w:rStyle w:val="tlid-translation"/>
          <w:lang w:val="en"/>
        </w:rPr>
        <w:t>he importance of the contribution of disease management to the promotion of patients' health by state aid and the financial impact it has on patient</w:t>
      </w:r>
      <w:r w:rsidR="00F875F0">
        <w:rPr>
          <w:rStyle w:val="tlid-translation"/>
          <w:lang w:val="en-US"/>
        </w:rPr>
        <w:t>s</w:t>
      </w:r>
      <w:r>
        <w:rPr>
          <w:rStyle w:val="tlid-translation"/>
          <w:lang w:val="en"/>
        </w:rPr>
        <w:t xml:space="preserve"> and </w:t>
      </w:r>
      <w:r w:rsidR="00F875F0">
        <w:rPr>
          <w:rStyle w:val="tlid-translation"/>
          <w:lang w:val="en"/>
        </w:rPr>
        <w:t>their families</w:t>
      </w:r>
      <w:r>
        <w:rPr>
          <w:rStyle w:val="tlid-translation"/>
          <w:lang w:val="en"/>
        </w:rPr>
        <w:t xml:space="preserve"> is presented.</w:t>
      </w:r>
    </w:p>
    <w:p w:rsidR="004C5B90" w:rsidRPr="004C5B90" w:rsidRDefault="004C5B90" w:rsidP="00A50CA8">
      <w:pPr>
        <w:pStyle w:val="1"/>
        <w:rPr>
          <w:lang w:val="en-US" w:eastAsia="el-GR"/>
        </w:rPr>
      </w:pPr>
    </w:p>
    <w:p w:rsidR="00A50CA8" w:rsidRPr="00A50CA8" w:rsidRDefault="009E249F" w:rsidP="00A50CA8">
      <w:pPr>
        <w:pStyle w:val="1"/>
        <w:rPr>
          <w:lang w:eastAsia="el-GR"/>
        </w:rPr>
      </w:pPr>
      <w:r w:rsidRPr="001D65A9">
        <w:rPr>
          <w:lang w:eastAsia="el-GR"/>
        </w:rPr>
        <w:br w:type="page"/>
      </w:r>
      <w:bookmarkStart w:id="3" w:name="_Toc57241609"/>
      <w:r w:rsidR="00A50CA8" w:rsidRPr="00A50CA8">
        <w:rPr>
          <w:lang w:eastAsia="el-GR"/>
        </w:rPr>
        <w:lastRenderedPageBreak/>
        <w:t>ΕΙΣΑΓΩΓΗ</w:t>
      </w:r>
      <w:bookmarkEnd w:id="3"/>
    </w:p>
    <w:p w:rsidR="004F770C" w:rsidRDefault="004F770C" w:rsidP="004F770C">
      <w:pPr>
        <w:rPr>
          <w:rFonts w:ascii="Calibri" w:hAnsi="Calibri" w:cs="Calibri"/>
          <w:szCs w:val="24"/>
          <w:lang w:eastAsia="el-GR"/>
        </w:rPr>
      </w:pPr>
    </w:p>
    <w:p w:rsidR="007756D1" w:rsidRDefault="0018117E" w:rsidP="004F770C">
      <w:pPr>
        <w:rPr>
          <w:rStyle w:val="tlid-translation"/>
        </w:rPr>
      </w:pPr>
      <w:r>
        <w:rPr>
          <w:rStyle w:val="tlid-translation"/>
        </w:rPr>
        <w:t xml:space="preserve">Η </w:t>
      </w:r>
      <w:r w:rsidR="00241093">
        <w:rPr>
          <w:rStyle w:val="tlid-translation"/>
        </w:rPr>
        <w:t xml:space="preserve">πολλαπλή </w:t>
      </w:r>
      <w:r>
        <w:rPr>
          <w:rStyle w:val="tlid-translation"/>
        </w:rPr>
        <w:t xml:space="preserve">σκλήρυνση είναι μια φλεγμονώδης </w:t>
      </w:r>
      <w:proofErr w:type="spellStart"/>
      <w:r>
        <w:rPr>
          <w:rStyle w:val="tlid-translation"/>
        </w:rPr>
        <w:t>απομυελινωτική</w:t>
      </w:r>
      <w:proofErr w:type="spellEnd"/>
      <w:r>
        <w:rPr>
          <w:rStyle w:val="tlid-translation"/>
        </w:rPr>
        <w:t xml:space="preserve"> ασθένεια του κεντρικού νευρικού συστήματος που μπορεί να οδηγήσει σε ένα ευρύ φάσμα νευρολογικών συμπτωμάτων </w:t>
      </w:r>
      <w:r w:rsidR="007756D1">
        <w:rPr>
          <w:rStyle w:val="tlid-translation"/>
        </w:rPr>
        <w:t xml:space="preserve">καθώς </w:t>
      </w:r>
      <w:r>
        <w:rPr>
          <w:rStyle w:val="tlid-translation"/>
        </w:rPr>
        <w:t xml:space="preserve">και </w:t>
      </w:r>
      <w:r w:rsidR="007756D1">
        <w:rPr>
          <w:rStyle w:val="tlid-translation"/>
        </w:rPr>
        <w:t xml:space="preserve">σε </w:t>
      </w:r>
      <w:r>
        <w:rPr>
          <w:rStyle w:val="tlid-translation"/>
        </w:rPr>
        <w:t xml:space="preserve">συσσωρευμένη αναπηρία. Η πορεία </w:t>
      </w:r>
      <w:r w:rsidR="007756D1">
        <w:rPr>
          <w:rStyle w:val="tlid-translation"/>
        </w:rPr>
        <w:t>της νόσου</w:t>
      </w:r>
      <w:r>
        <w:rPr>
          <w:rStyle w:val="tlid-translation"/>
        </w:rPr>
        <w:t xml:space="preserve"> είναι απρόβλεπτη με αποτέλεσμα ένα μεταβαλλόμενο πρότυπο κλινικής ανάγκης</w:t>
      </w:r>
      <w:r w:rsidR="007756D1">
        <w:rPr>
          <w:rStyle w:val="tlid-translation"/>
        </w:rPr>
        <w:t xml:space="preserve"> να είναι αναγκαίο</w:t>
      </w:r>
      <w:r>
        <w:rPr>
          <w:rStyle w:val="tlid-translation"/>
        </w:rPr>
        <w:t xml:space="preserve">. Τα διαγνωστικά κριτήρια για τη σκλήρυνση κατά πλάκας απαιτούν αντικειμενικά στοιχεία για τη διάδοση στο χώρο και το χρόνο. Η διαδικασία διάγνωσης και διαχείρισης πρέπει να ακολουθεί τις οδηγίες ορθής πρακτικής με το άτομο στο κέντρο της διαδικασίας. Η κατάλληλη υποστήριξη και πληροφορίες θα πρέπει να είναι διαθέσιμες από τη στιγμή της διάγνωσης. Η συνέχιση της εκπαίδευσης είναι το κλειδί για τη δυνατότητα του ατόμου να </w:t>
      </w:r>
      <w:r w:rsidR="007756D1">
        <w:rPr>
          <w:rStyle w:val="tlid-translation"/>
        </w:rPr>
        <w:t>συμμετέχει ενεργά στη διαχείριση της νόσου</w:t>
      </w:r>
      <w:r>
        <w:rPr>
          <w:rStyle w:val="tlid-translation"/>
        </w:rPr>
        <w:t xml:space="preserve">. Σε περίπτωση οξείας υποτροπής, το άτομο θα πρέπει να έχει άμεση πρόσβαση στην πιο κατάλληλη τοπική υπηρεσία. Υπό την προϋπόθεση ότι έχουν αποκλειστεί ιατρικές αιτίες, θα πρέπει να εξεταστεί η θεραπεία με </w:t>
      </w:r>
      <w:proofErr w:type="spellStart"/>
      <w:r>
        <w:rPr>
          <w:rStyle w:val="tlid-translation"/>
        </w:rPr>
        <w:t>κορτικοστεροειδή</w:t>
      </w:r>
      <w:proofErr w:type="spellEnd"/>
      <w:r>
        <w:rPr>
          <w:rStyle w:val="tlid-translation"/>
        </w:rPr>
        <w:t xml:space="preserve"> για να επιταχυνθεί η ανάρρωση από την υποτροπή. Η διαχείριση μιας οξείας υποτροπής πρέπει να είναι ολοκληρωμένη για την αντιμετώπιση τυχόν ιατρικών, λειτουργικών ή ψυχοκοινωνικών συνεπειών</w:t>
      </w:r>
      <w:r w:rsidR="007756D1">
        <w:rPr>
          <w:rStyle w:val="tlid-translation"/>
        </w:rPr>
        <w:t xml:space="preserve"> (</w:t>
      </w:r>
      <w:proofErr w:type="spellStart"/>
      <w:r w:rsidR="007756D1" w:rsidRPr="007756D1">
        <w:rPr>
          <w:rStyle w:val="tlid-translation"/>
        </w:rPr>
        <w:t>Leary</w:t>
      </w:r>
      <w:proofErr w:type="spellEnd"/>
      <w:r w:rsidR="007756D1" w:rsidRPr="007756D1">
        <w:rPr>
          <w:rStyle w:val="tlid-translation"/>
        </w:rPr>
        <w:t xml:space="preserve">, </w:t>
      </w:r>
      <w:proofErr w:type="spellStart"/>
      <w:r w:rsidR="007756D1" w:rsidRPr="007756D1">
        <w:rPr>
          <w:rStyle w:val="tlid-translation"/>
        </w:rPr>
        <w:t>Porter</w:t>
      </w:r>
      <w:proofErr w:type="spellEnd"/>
      <w:r w:rsidR="007756D1">
        <w:rPr>
          <w:rStyle w:val="tlid-translation"/>
        </w:rPr>
        <w:t xml:space="preserve"> </w:t>
      </w:r>
      <w:r w:rsidR="00C63BDD">
        <w:rPr>
          <w:rStyle w:val="tlid-translation"/>
        </w:rPr>
        <w:t xml:space="preserve">&amp; </w:t>
      </w:r>
      <w:proofErr w:type="spellStart"/>
      <w:r w:rsidR="00C63BDD">
        <w:rPr>
          <w:rStyle w:val="tlid-translation"/>
        </w:rPr>
        <w:t>Thompson</w:t>
      </w:r>
      <w:proofErr w:type="spellEnd"/>
      <w:r w:rsidR="007756D1">
        <w:rPr>
          <w:rStyle w:val="tlid-translation"/>
        </w:rPr>
        <w:t>,</w:t>
      </w:r>
      <w:r w:rsidR="00067CF4">
        <w:rPr>
          <w:rStyle w:val="tlid-translation"/>
        </w:rPr>
        <w:t xml:space="preserve"> </w:t>
      </w:r>
      <w:r w:rsidR="007756D1" w:rsidRPr="007756D1">
        <w:rPr>
          <w:rStyle w:val="tlid-translation"/>
        </w:rPr>
        <w:t xml:space="preserve">2005). </w:t>
      </w:r>
    </w:p>
    <w:p w:rsidR="00FD70C9" w:rsidRPr="000C582F" w:rsidRDefault="00FD70C9" w:rsidP="00584274">
      <w:pPr>
        <w:rPr>
          <w:rStyle w:val="tlid-translation"/>
        </w:rPr>
      </w:pPr>
      <w:r>
        <w:rPr>
          <w:rStyle w:val="tlid-translation"/>
        </w:rPr>
        <w:t xml:space="preserve">Στο 20% των ασθενών με σκλήρυνση κατά πλάκας </w:t>
      </w:r>
      <w:r w:rsidR="00DD7AC4">
        <w:rPr>
          <w:rStyle w:val="tlid-translation"/>
        </w:rPr>
        <w:t>η</w:t>
      </w:r>
      <w:r>
        <w:rPr>
          <w:rStyle w:val="tlid-translation"/>
        </w:rPr>
        <w:t xml:space="preserve"> </w:t>
      </w:r>
      <w:r w:rsidR="00272D17">
        <w:rPr>
          <w:rStyle w:val="tlid-translation"/>
        </w:rPr>
        <w:t>οπτική νευρίτιδα</w:t>
      </w:r>
      <w:r>
        <w:rPr>
          <w:rStyle w:val="tlid-translation"/>
        </w:rPr>
        <w:t xml:space="preserve"> είναι το εμφανιζόμενο σύμπτωμα και οι μισοί από τους ασθενείς με απομονωμένη </w:t>
      </w:r>
      <w:r w:rsidR="00272D17">
        <w:rPr>
          <w:rStyle w:val="tlid-translation"/>
        </w:rPr>
        <w:t xml:space="preserve">οπτική νευρίτιδα </w:t>
      </w:r>
      <w:r>
        <w:rPr>
          <w:rStyle w:val="tlid-translation"/>
        </w:rPr>
        <w:t xml:space="preserve">αναπτύσσουν σκλήρυνση κατά πλάκας εντός 15 ετών. Η διάγνωση </w:t>
      </w:r>
      <w:r w:rsidR="00272D17">
        <w:rPr>
          <w:rStyle w:val="tlid-translation"/>
        </w:rPr>
        <w:t>της οπτικής νευρίτιδας</w:t>
      </w:r>
      <w:r>
        <w:rPr>
          <w:rStyle w:val="tlid-translation"/>
        </w:rPr>
        <w:t xml:space="preserve"> παίζει σημαντικό ρόλο στη νευρολογική πρακτική. Μια σωστή και έγκαιρη διάγνωση είναι απαραίτητη για να εξασφαλιστούν οι βέλτιστες περαιτέρω έρευνες και θεραπεία. Άλλες αιτίες οπτικών νευροπαθειών όπως διαταραχές του συνδετικού ιστού, μολυσματικές ασθένειες, όγκοι ή ισχαιμικές νευροπάθειες είναι λιγότερο συχνές, αλλά η κλινική και θεραπευτική αντιμετώπιση μπορεί να διαφέρει δραματικά.</w:t>
      </w:r>
    </w:p>
    <w:p w:rsidR="00471CA0" w:rsidRDefault="00471CA0" w:rsidP="00584274">
      <w:pPr>
        <w:rPr>
          <w:rStyle w:val="tlid-translation"/>
        </w:rPr>
      </w:pPr>
      <w:r>
        <w:rPr>
          <w:rStyle w:val="tlid-translation"/>
        </w:rPr>
        <w:t xml:space="preserve">Η οπτική νευρίτιδα (ΟΝ) είναι η πιο κοινή αιτία οξείας μονομερούς απώλειας της όρασης σε νεαρούς ενήλικες με συχνότητα 1-5 σε 100.000 ανά έτος. Οι γυναίκες επηρεάζονται συχνότερα από τους άνδρες με μέγιστη εκδήλωση μεταξύ των ηλικιών 15 και 49 ετών </w:t>
      </w:r>
      <w:r w:rsidR="00272D17">
        <w:rPr>
          <w:rStyle w:val="tlid-translation"/>
        </w:rPr>
        <w:t>(</w:t>
      </w:r>
      <w:proofErr w:type="spellStart"/>
      <w:r>
        <w:rPr>
          <w:rStyle w:val="tlid-translation"/>
        </w:rPr>
        <w:t>Rodriguez</w:t>
      </w:r>
      <w:proofErr w:type="spellEnd"/>
      <w:r>
        <w:rPr>
          <w:rStyle w:val="tlid-translation"/>
        </w:rPr>
        <w:t xml:space="preserve"> </w:t>
      </w:r>
      <w:proofErr w:type="spellStart"/>
      <w:r>
        <w:rPr>
          <w:rStyle w:val="tlid-translation"/>
        </w:rPr>
        <w:t>et</w:t>
      </w:r>
      <w:proofErr w:type="spellEnd"/>
      <w:r>
        <w:rPr>
          <w:rStyle w:val="tlid-translation"/>
        </w:rPr>
        <w:t xml:space="preserve"> </w:t>
      </w:r>
      <w:proofErr w:type="spellStart"/>
      <w:r>
        <w:rPr>
          <w:rStyle w:val="tlid-translation"/>
        </w:rPr>
        <w:t>al</w:t>
      </w:r>
      <w:proofErr w:type="spellEnd"/>
      <w:r>
        <w:rPr>
          <w:rStyle w:val="tlid-translation"/>
        </w:rPr>
        <w:t>. 1995</w:t>
      </w:r>
      <w:r w:rsidR="00272D17">
        <w:rPr>
          <w:rStyle w:val="tlid-translation"/>
        </w:rPr>
        <w:t xml:space="preserve">). </w:t>
      </w:r>
    </w:p>
    <w:p w:rsidR="00272D17" w:rsidRDefault="00272D17" w:rsidP="00584274">
      <w:pPr>
        <w:rPr>
          <w:rStyle w:val="tlid-translation"/>
        </w:rPr>
      </w:pPr>
      <w:r>
        <w:rPr>
          <w:rStyle w:val="tlid-translation"/>
        </w:rPr>
        <w:t xml:space="preserve">Η οπτική νευρίτιδα είναι μία από τις πιο κοινές αρχικές κλινικές παρουσιάσεις της σκλήρυνσης κατά πλάκας χωρίς προηγούμενο ιστορικό </w:t>
      </w:r>
      <w:proofErr w:type="spellStart"/>
      <w:r>
        <w:rPr>
          <w:rStyle w:val="tlid-translation"/>
        </w:rPr>
        <w:t>απομυελινωτικού</w:t>
      </w:r>
      <w:proofErr w:type="spellEnd"/>
      <w:r>
        <w:rPr>
          <w:rStyle w:val="tlid-translation"/>
        </w:rPr>
        <w:t xml:space="preserve"> συμβάντος. Όταν ένας ασθενής παραπέμπεται σε νευρολόγο με οπτική νευρίτιδα, μετά από οξεία αντιμετώπιση, </w:t>
      </w:r>
      <w:r>
        <w:rPr>
          <w:rStyle w:val="tlid-translation"/>
        </w:rPr>
        <w:lastRenderedPageBreak/>
        <w:t xml:space="preserve">ένα από τα πιο συνηθισμένα ερωτήματα θα ήταν η δυνατότητα μετατροπής σε σκλήρυνση κατά πλάκας και συνεπώς η μακροχρόνια διαχείριση. Δεν είναι πάντα δυνατό να προβλεφθεί η μετατροπή ή η μακροπρόθεσμη πρόγνωση ενός κλινικού πρώτου συμβάντος, αλλά ορισμένοι παράγοντες (φύλο, φυλή, ηλικία, οικογενειακό ιστορικό, νευρολογικά και άλλα παθολογικά ευρήματα) μπορεί να είναι χρήσιμα για την πρόβλεψη του κινδύνου μετατροπής σε σκλήρυνση κατά πλάκας. Παρόλο που δεν υπάρχει ούτε ένας </w:t>
      </w:r>
      <w:proofErr w:type="spellStart"/>
      <w:r>
        <w:rPr>
          <w:rStyle w:val="tlid-translation"/>
        </w:rPr>
        <w:t>βιοδείκτης</w:t>
      </w:r>
      <w:proofErr w:type="spellEnd"/>
      <w:r>
        <w:rPr>
          <w:rStyle w:val="tlid-translation"/>
        </w:rPr>
        <w:t xml:space="preserve"> που να επιτρέπει στους νευρολόγους να υπολογίζουν αυτόν τον κίνδυνο, τα ευρήματα μαγνητικής τομογραφίας (MRI) φαίνεται να προβλέπουν έντονα τον κίνδυνο εμφάνισης </w:t>
      </w:r>
      <w:proofErr w:type="spellStart"/>
      <w:r>
        <w:rPr>
          <w:rStyle w:val="tlid-translation"/>
        </w:rPr>
        <w:t>ΣκΠ</w:t>
      </w:r>
      <w:proofErr w:type="spellEnd"/>
      <w:r>
        <w:rPr>
          <w:rStyle w:val="tlid-translation"/>
        </w:rPr>
        <w:t xml:space="preserve"> (</w:t>
      </w:r>
      <w:r w:rsidRPr="00272D17">
        <w:rPr>
          <w:rStyle w:val="element-citation"/>
          <w:lang w:val="en-US"/>
        </w:rPr>
        <w:t>Mamarabadi</w:t>
      </w:r>
      <w:r w:rsidRPr="00272D17">
        <w:rPr>
          <w:rStyle w:val="element-citation"/>
        </w:rPr>
        <w:t xml:space="preserve">, </w:t>
      </w:r>
      <w:r w:rsidRPr="00272D17">
        <w:rPr>
          <w:rStyle w:val="element-citation"/>
          <w:lang w:val="en-US"/>
        </w:rPr>
        <w:t>Razjouyan</w:t>
      </w:r>
      <w:r w:rsidRPr="00272D17">
        <w:rPr>
          <w:rStyle w:val="element-citation"/>
        </w:rPr>
        <w:t xml:space="preserve">, </w:t>
      </w:r>
      <w:r w:rsidRPr="00272D17">
        <w:rPr>
          <w:rStyle w:val="element-citation"/>
          <w:lang w:val="en-US"/>
        </w:rPr>
        <w:t>Mohammadi</w:t>
      </w:r>
      <w:r w:rsidRPr="00272D17">
        <w:rPr>
          <w:rStyle w:val="element-citation"/>
        </w:rPr>
        <w:t xml:space="preserve">, </w:t>
      </w:r>
      <w:r w:rsidRPr="00272D17">
        <w:rPr>
          <w:rStyle w:val="element-citation"/>
          <w:lang w:val="en-US"/>
        </w:rPr>
        <w:t>Moghaddasi</w:t>
      </w:r>
      <w:r w:rsidRPr="00272D17">
        <w:rPr>
          <w:rStyle w:val="element-citation"/>
        </w:rPr>
        <w:t>, 2011).</w:t>
      </w:r>
      <w:r>
        <w:rPr>
          <w:rStyle w:val="tlid-translation"/>
        </w:rPr>
        <w:t xml:space="preserve"> Μελέτες έχουν δείξει ότι οι βλάβες του νωτιαίου μυελού μπορεί να είναι ισχυροί δείκτες για την πρόβλεψη του κινδύνου σκλήρυνσης κατά πλάκας. </w:t>
      </w:r>
    </w:p>
    <w:p w:rsidR="00241093" w:rsidRDefault="00241093" w:rsidP="00E70781">
      <w:pPr>
        <w:rPr>
          <w:rStyle w:val="tlid-translation"/>
        </w:rPr>
      </w:pPr>
      <w:r>
        <w:rPr>
          <w:rStyle w:val="tlid-translation"/>
        </w:rPr>
        <w:t xml:space="preserve">Στο πλαίσιο της παρούσας διπλωματικής εργασίας επιλέχθηκαν αυτές οι δύο ασθένειες που σχετίζονται ιδιαίτερα έντονα μεταξύ τους και τα τελευταία χρόνια έχει παρουσιαστεί μία εξελικτική πορεία σχετικά με την θεραπευτική τους αντιμετώπιση. Διεθνώς τα ποσοστά εμφάνισης των παραπάνω ασθενειών είναι αυξητικά με αποτέλεσμα να κρίνεται απαραίτητο να αντιμετωπίζεται η συμπτωματολογία τους. Επιπρόσθετα, κρίνεται απαραίτητο να </w:t>
      </w:r>
      <w:r w:rsidR="00E70781">
        <w:rPr>
          <w:rStyle w:val="tlid-translation"/>
        </w:rPr>
        <w:t>υποστηρίζονται</w:t>
      </w:r>
      <w:r>
        <w:rPr>
          <w:rStyle w:val="tlid-translation"/>
        </w:rPr>
        <w:t xml:space="preserve"> οι ασθενείς </w:t>
      </w:r>
      <w:r w:rsidR="00E70781">
        <w:rPr>
          <w:rStyle w:val="tlid-translation"/>
        </w:rPr>
        <w:t>από τον κρατικό μηχανισμό διότι οι ασθένειες δύναται να προκαλέσουν μόνιμες κινητικές ή οπτικές βλάβες, γεγονός που δύναται να δημιουργήσουν οικονομική δυσχέρεια στους ασθενείς και στις οικογένειές τους.</w:t>
      </w:r>
    </w:p>
    <w:p w:rsidR="00E70781" w:rsidRDefault="00E70781" w:rsidP="00E70781">
      <w:pPr>
        <w:rPr>
          <w:rStyle w:val="tlid-translation"/>
        </w:rPr>
      </w:pPr>
      <w:r>
        <w:rPr>
          <w:rStyle w:val="tlid-translation"/>
        </w:rPr>
        <w:t xml:space="preserve">Στην Ευρωπαϊκή Ένωση και σε πολλές από τις χώρες που την απαρτίζουν έχουν εκπονηθεί σειρά ερευνών που σχετίζεται με τα κόστη των ασθενειών αυτών, ειδικότερα της πολλαπλής σκλήρυνσης, δημιουργώντας όμως ένα μεγάλο κενό σε αναφορές για την Ελλάδα. Λόγω της φύσης της εργασίας που κάνει χρήση της δευτερογενούς ανάλυσης δεδομένων, ορμώμενη από πληροφορίες και </w:t>
      </w:r>
      <w:proofErr w:type="spellStart"/>
      <w:r>
        <w:rPr>
          <w:rStyle w:val="tlid-translation"/>
        </w:rPr>
        <w:t>ευρύματων</w:t>
      </w:r>
      <w:proofErr w:type="spellEnd"/>
      <w:r>
        <w:rPr>
          <w:rStyle w:val="tlid-translation"/>
        </w:rPr>
        <w:t xml:space="preserve"> άλλων ερευνητών οδηγούμαστε στην παρουσίαση των ασθενειών αυτών και σε προτάσεις που σχετίζονται με την οικονομική ελάφρυνση των ασθενών και των οικογενειών τους από μέρους της πολιτείας.</w:t>
      </w:r>
    </w:p>
    <w:p w:rsidR="00E70781" w:rsidRPr="00396DC9" w:rsidRDefault="00E70781" w:rsidP="00E70781">
      <w:pPr>
        <w:rPr>
          <w:rFonts w:ascii="Calibri" w:hAnsi="Calibri" w:cs="Calibri"/>
          <w:szCs w:val="24"/>
          <w:highlight w:val="yellow"/>
          <w:lang w:eastAsia="el-GR"/>
        </w:rPr>
      </w:pPr>
      <w:r>
        <w:rPr>
          <w:rStyle w:val="tlid-translation"/>
        </w:rPr>
        <w:t xml:space="preserve">Η παρούσα εργασία χωρίζεται σε τέσσερα κεφάλαια. Στο πρώτο κεφάλαιο παρουσιάζεται το νευρικό σύστημα του ανθρώπου σε μία προσπάθεια κατανόησής του καθώς επίσης γίνεται μία εκτενής αναφορά στα </w:t>
      </w:r>
      <w:proofErr w:type="spellStart"/>
      <w:r>
        <w:rPr>
          <w:rStyle w:val="tlid-translation"/>
        </w:rPr>
        <w:t>απομυελινωτικά</w:t>
      </w:r>
      <w:proofErr w:type="spellEnd"/>
      <w:r>
        <w:rPr>
          <w:rStyle w:val="tlid-translation"/>
        </w:rPr>
        <w:t xml:space="preserve"> νοσήματα. Το δεύτερο κεφάλαιο παρουσιάζει </w:t>
      </w:r>
      <w:r w:rsidR="00396DC9">
        <w:rPr>
          <w:rStyle w:val="tlid-translation"/>
        </w:rPr>
        <w:t xml:space="preserve">την ασθένεια της Σκλήρυνσης κατά Πλάκας ή αλλιώς Πολλαπλή Σκλήρυνση. Το τρίτο κεφάλαιο αφιερώνεται στη νόσο </w:t>
      </w:r>
      <w:r w:rsidR="00396DC9">
        <w:rPr>
          <w:rStyle w:val="tlid-translation"/>
          <w:lang w:val="en-US"/>
        </w:rPr>
        <w:t>Devic</w:t>
      </w:r>
      <w:r w:rsidR="00396DC9">
        <w:rPr>
          <w:rStyle w:val="tlid-translation"/>
        </w:rPr>
        <w:t xml:space="preserve"> που πλέον μετονομάστηκε σε οπτική νευρομυελίτιδα και συνδέεται με την πολλαπλή σκλήρυνση σε διάφορα σημεία. Για το λόγο των ομοιοτήτων των δύο αυτών ασθενειών, ακολουθεί το τέταρτο κεφάλαιο που μας οδηγεί σε μία ανάλυση των διαφοροποιήσεων που φέρουν οι δύο ασθένειες. Περιλαμβάνονται </w:t>
      </w:r>
      <w:r w:rsidR="00396DC9">
        <w:rPr>
          <w:rStyle w:val="tlid-translation"/>
        </w:rPr>
        <w:lastRenderedPageBreak/>
        <w:t xml:space="preserve">συγκριτικές μελέτες καθώς και οι διαφορές και οι ομοιότητες των δύο ασθενειών σε σειρά χαρακτηριστικών όπως σε παθολογικά, ακτινολογικά και ανοσολογικά. Το τελευταίο κεφάλαιο της εργασίας </w:t>
      </w:r>
      <w:r w:rsidR="00A10FAF">
        <w:rPr>
          <w:rStyle w:val="tlid-translation"/>
        </w:rPr>
        <w:t xml:space="preserve">είναι το πέμπτο </w:t>
      </w:r>
      <w:r w:rsidR="00396DC9">
        <w:rPr>
          <w:rStyle w:val="tlid-translation"/>
        </w:rPr>
        <w:t>και παρουσιάζει μέσα από έρευνες τον προβληματισμό που έχει δημιουργηθεί στη χώρα μας σε σχέση με την αντιμετώπιση</w:t>
      </w:r>
      <w:r w:rsidR="00A10FAF">
        <w:rPr>
          <w:rStyle w:val="tlid-translation"/>
        </w:rPr>
        <w:t xml:space="preserve"> </w:t>
      </w:r>
      <w:r w:rsidR="00396DC9">
        <w:rPr>
          <w:rStyle w:val="tlid-translation"/>
        </w:rPr>
        <w:t xml:space="preserve">της ασθένειας </w:t>
      </w:r>
      <w:r w:rsidR="00A10FAF">
        <w:rPr>
          <w:rStyle w:val="tlid-translation"/>
        </w:rPr>
        <w:t xml:space="preserve">της πολλαπλής σκλήρυνσης καθώς και τη στήριξη των ασθενών και των οικογενειών τους </w:t>
      </w:r>
      <w:r w:rsidR="00396DC9">
        <w:rPr>
          <w:rStyle w:val="tlid-translation"/>
        </w:rPr>
        <w:t>σε οικονομικό επίπεδο.</w:t>
      </w:r>
    </w:p>
    <w:p w:rsidR="0018117E" w:rsidRPr="000C582F" w:rsidRDefault="0018117E" w:rsidP="00584274">
      <w:pPr>
        <w:rPr>
          <w:rStyle w:val="tlid-translation"/>
        </w:rPr>
      </w:pPr>
    </w:p>
    <w:p w:rsidR="005013FA" w:rsidRDefault="00C3056B" w:rsidP="00A50CA8">
      <w:pPr>
        <w:pStyle w:val="1"/>
        <w:rPr>
          <w:lang w:eastAsia="el-GR"/>
        </w:rPr>
      </w:pPr>
      <w:r>
        <w:rPr>
          <w:lang w:eastAsia="el-GR"/>
        </w:rPr>
        <w:br w:type="page"/>
      </w:r>
      <w:bookmarkStart w:id="4" w:name="_Toc57241610"/>
      <w:r w:rsidR="00A50CA8" w:rsidRPr="00A50CA8">
        <w:rPr>
          <w:lang w:eastAsia="el-GR"/>
        </w:rPr>
        <w:lastRenderedPageBreak/>
        <w:t>ΚΕΦΑΛΑΙΟ 1</w:t>
      </w:r>
      <w:r w:rsidR="0079604F">
        <w:rPr>
          <w:vertAlign w:val="superscript"/>
          <w:lang w:eastAsia="el-GR"/>
        </w:rPr>
        <w:t>ο</w:t>
      </w:r>
      <w:r w:rsidR="00A50CA8" w:rsidRPr="00A50CA8">
        <w:rPr>
          <w:lang w:eastAsia="el-GR"/>
        </w:rPr>
        <w:t xml:space="preserve">: </w:t>
      </w:r>
      <w:r w:rsidR="005013FA" w:rsidRPr="00A50CA8">
        <w:rPr>
          <w:lang w:eastAsia="el-GR"/>
        </w:rPr>
        <w:t>ΝΕΥΡΙΚΟ ΣΥΣΤΗΜΑ</w:t>
      </w:r>
      <w:bookmarkEnd w:id="4"/>
    </w:p>
    <w:p w:rsidR="003E0A78" w:rsidRPr="00BC3AA8" w:rsidRDefault="003E0A78" w:rsidP="003E0A78">
      <w:pPr>
        <w:pStyle w:val="Web"/>
        <w:shd w:val="clear" w:color="auto" w:fill="FFFFFF"/>
        <w:spacing w:before="0" w:beforeAutospacing="0" w:after="120" w:afterAutospacing="0" w:line="360" w:lineRule="auto"/>
        <w:ind w:firstLine="720"/>
        <w:jc w:val="both"/>
      </w:pPr>
      <w:r w:rsidRPr="004E355E">
        <w:t xml:space="preserve">Ένας οργανισμός αντιλαμβάνεται τα ερεθίσματα που λαμβάνει από το περιβάλλον του και αντιδράει με απώτερο σκοπό την ασφάλεια και επιβίωσή του. Επίσης, η αντίδραση αυτού είναι ανάλογη ως προς τις μεταβολές του περιβάλλοντος και τις εκάστοτε εμφανιζόμενες ανάγκες </w:t>
      </w:r>
      <w:r>
        <w:t xml:space="preserve">έτσι ώστε να επιτευχθεί η </w:t>
      </w:r>
      <w:r w:rsidRPr="004E355E">
        <w:t xml:space="preserve">διαφύλαξη του εαυτού. Όλες οι εν λόγω πληροφορίες αναφορικά με τις επιμέρους μεταβολές, συλλέγονται και μεταβιβάζονται από τους υποδοχείς προς το ΚΝΣ (Κεντρικό Νευρικό Σύστημα). Στη συνέχεια, επιτελείται η επεξεργασία των </w:t>
      </w:r>
      <w:proofErr w:type="spellStart"/>
      <w:r w:rsidRPr="004E355E">
        <w:t>συλλεχθέντων</w:t>
      </w:r>
      <w:proofErr w:type="spellEnd"/>
      <w:r w:rsidRPr="004E355E">
        <w:t xml:space="preserve"> πληροφοριών και έπειτα δίδονται από το ΚΝΣ οι κατάλληλες εντολές στους αδένες και στους μυς. </w:t>
      </w:r>
      <w:r w:rsidRPr="0080025E">
        <w:t xml:space="preserve">Έτσι λοιπόν, το σύστημα ενδοκρινών αδένων σε συνεργασία με το </w:t>
      </w:r>
      <w:r w:rsidRPr="0080025E">
        <w:rPr>
          <w:rStyle w:val="a3"/>
          <w:b w:val="0"/>
          <w:bdr w:val="none" w:sz="0" w:space="0" w:color="auto" w:frame="1"/>
        </w:rPr>
        <w:t>νευρικό σύστημα είναι υπεύθυνα για</w:t>
      </w:r>
      <w:r w:rsidRPr="0080025E">
        <w:rPr>
          <w:rStyle w:val="a3"/>
          <w:bdr w:val="none" w:sz="0" w:space="0" w:color="auto" w:frame="1"/>
        </w:rPr>
        <w:t xml:space="preserve"> </w:t>
      </w:r>
      <w:r w:rsidRPr="0080025E">
        <w:t xml:space="preserve">τη διατήρηση της ομοιόστασης, δηλαδή ενός εσωτερικού περιβάλλοντος που είναι σταθερό, ενώ παράλληλα συντονίζονται από τα ίδια συστήματα και ελέγχονται οι λοιπές λειτουργίες των συστημάτων ενός οργανισμού έτσι ώστε να προσαρμόζεται στις τυχόν περιβαλλοντολογικές μεταβολές. Το νευρικό σύστημα αποτελείται από τον εγκέφαλο και τον νωτιαίο μυελό και </w:t>
      </w:r>
      <w:r>
        <w:t>ορίζεται ως</w:t>
      </w:r>
      <w:r w:rsidRPr="0080025E">
        <w:t xml:space="preserve"> ΚΝΣ (Κεντρικό Νευρικό Σύστημα), καθώς επίσης τα νεύρα αποτελούν το ΠΝΣ (Περιφερικό Νευρικό Σύστημα)</w:t>
      </w:r>
      <w:r>
        <w:t xml:space="preserve"> και υποδιαιρείται στο ΑΝΣ (Αυτόνομο Νευρικό Σύστημα) και στο ΣΝΣ (Σωματικό Νευρικό σύστημα)</w:t>
      </w:r>
      <w:r w:rsidR="00BC3AA8" w:rsidRPr="00BC3AA8">
        <w:t xml:space="preserve"> (</w:t>
      </w:r>
      <w:r w:rsidR="00BC3AA8">
        <w:rPr>
          <w:lang w:val="en-US"/>
        </w:rPr>
        <w:t>Taylor</w:t>
      </w:r>
      <w:r w:rsidR="00BC3AA8" w:rsidRPr="00BC3AA8">
        <w:t xml:space="preserve">, </w:t>
      </w:r>
      <w:r w:rsidR="00BC3AA8">
        <w:rPr>
          <w:lang w:val="en-US"/>
        </w:rPr>
        <w:t>Hardcastle</w:t>
      </w:r>
      <w:r w:rsidR="00BC3AA8" w:rsidRPr="00BC3AA8">
        <w:t xml:space="preserve"> &amp; </w:t>
      </w:r>
      <w:r w:rsidR="00BC3AA8">
        <w:rPr>
          <w:lang w:val="en-US"/>
        </w:rPr>
        <w:t>Marsiske</w:t>
      </w:r>
      <w:r w:rsidR="00BC3AA8" w:rsidRPr="00BC3AA8">
        <w:t>, 2019)</w:t>
      </w:r>
      <w:r>
        <w:t>.</w:t>
      </w:r>
    </w:p>
    <w:p w:rsidR="002D4FC9" w:rsidRDefault="002D4FC9" w:rsidP="003E0A78">
      <w:pPr>
        <w:pStyle w:val="Web"/>
        <w:shd w:val="clear" w:color="auto" w:fill="FFFFFF"/>
        <w:spacing w:before="0" w:beforeAutospacing="0" w:after="120" w:afterAutospacing="0" w:line="360" w:lineRule="auto"/>
        <w:ind w:firstLine="720"/>
        <w:jc w:val="both"/>
        <w:rPr>
          <w:rStyle w:val="tlid-translation"/>
        </w:rPr>
      </w:pPr>
      <w:r>
        <w:rPr>
          <w:rStyle w:val="tlid-translation"/>
        </w:rPr>
        <w:t xml:space="preserve">Το νευρικό σύστημα είναι ένα πολύπλοκο δίκτυο που επιτρέπει σε έναν οργανισμό να </w:t>
      </w:r>
      <w:proofErr w:type="spellStart"/>
      <w:r>
        <w:rPr>
          <w:rStyle w:val="tlid-translation"/>
        </w:rPr>
        <w:t>αλληλεπιδρά</w:t>
      </w:r>
      <w:proofErr w:type="spellEnd"/>
      <w:r>
        <w:rPr>
          <w:rStyle w:val="tlid-translation"/>
        </w:rPr>
        <w:t xml:space="preserve"> με το περιβάλλον του. Αισθητηριακά σημεία που ανιχνεύουν περιβαλλοντικά ερεθίσματα και κινητικά δεδομένα που παρέχουν έλεγχο σκελετικών, καρδιακών και μυϊκών λειτουργιών, καθώς και έλεγχο αδενικών εκκρίσεων, συντονίζονται σε ένα σύστημα για να υποχρεώσουν τις κατάλληλες κινητικές αποκρίσεις στα ερεθίσματα ή τις αισθητηριακές εισόδους που έχουν ληφθεί, </w:t>
      </w:r>
      <w:proofErr w:type="spellStart"/>
      <w:r>
        <w:rPr>
          <w:rStyle w:val="tlid-translation"/>
        </w:rPr>
        <w:t>αποθηκευθεί</w:t>
      </w:r>
      <w:proofErr w:type="spellEnd"/>
      <w:r>
        <w:rPr>
          <w:rStyle w:val="tlid-translation"/>
        </w:rPr>
        <w:t xml:space="preserve"> και υποβληθεί σε επεξεργασία</w:t>
      </w:r>
      <w:r w:rsidR="00BC3AA8">
        <w:rPr>
          <w:rStyle w:val="tlid-translation"/>
        </w:rPr>
        <w:t xml:space="preserve"> (</w:t>
      </w:r>
      <w:r w:rsidR="00BC3AA8">
        <w:rPr>
          <w:rStyle w:val="tlid-translation"/>
          <w:lang w:val="en-US"/>
        </w:rPr>
        <w:t>Ludwig</w:t>
      </w:r>
      <w:r w:rsidR="00BC3AA8" w:rsidRPr="00BC3AA8">
        <w:rPr>
          <w:rStyle w:val="tlid-translation"/>
        </w:rPr>
        <w:t xml:space="preserve">, </w:t>
      </w:r>
      <w:r w:rsidR="00BC3AA8">
        <w:rPr>
          <w:rStyle w:val="tlid-translation"/>
          <w:lang w:val="en-US"/>
        </w:rPr>
        <w:t>Reddy</w:t>
      </w:r>
      <w:r w:rsidR="00BC3AA8" w:rsidRPr="00BC3AA8">
        <w:rPr>
          <w:rStyle w:val="tlid-translation"/>
        </w:rPr>
        <w:t xml:space="preserve">, </w:t>
      </w:r>
      <w:r w:rsidR="00BC3AA8">
        <w:rPr>
          <w:rStyle w:val="tlid-translation"/>
          <w:lang w:val="en-US"/>
        </w:rPr>
        <w:t>Varacallo</w:t>
      </w:r>
      <w:r w:rsidR="00BC3AA8" w:rsidRPr="00BC3AA8">
        <w:rPr>
          <w:rStyle w:val="tlid-translation"/>
        </w:rPr>
        <w:t>, 2020)</w:t>
      </w:r>
      <w:r>
        <w:rPr>
          <w:rStyle w:val="tlid-translation"/>
        </w:rPr>
        <w:t>.</w:t>
      </w:r>
    </w:p>
    <w:p w:rsidR="00BC3AA8" w:rsidRPr="00240DB6" w:rsidRDefault="00BC3AA8" w:rsidP="003E0A78">
      <w:pPr>
        <w:pStyle w:val="Web"/>
        <w:shd w:val="clear" w:color="auto" w:fill="FFFFFF"/>
        <w:spacing w:before="0" w:beforeAutospacing="0" w:after="120" w:afterAutospacing="0" w:line="360" w:lineRule="auto"/>
        <w:ind w:firstLine="720"/>
        <w:jc w:val="both"/>
      </w:pPr>
    </w:p>
    <w:p w:rsidR="005013FA" w:rsidRDefault="00A50CA8" w:rsidP="003E0A78">
      <w:pPr>
        <w:pStyle w:val="2"/>
      </w:pPr>
      <w:bookmarkStart w:id="5" w:name="_Toc57241611"/>
      <w:r w:rsidRPr="00A50CA8">
        <w:t xml:space="preserve">1.1 </w:t>
      </w:r>
      <w:r w:rsidR="00A358AA" w:rsidRPr="00A50CA8">
        <w:t>Ανατομία νευρικού συστήματος</w:t>
      </w:r>
      <w:bookmarkEnd w:id="5"/>
    </w:p>
    <w:p w:rsidR="00C3056B" w:rsidRPr="00E32768" w:rsidRDefault="00C3056B" w:rsidP="00C3056B">
      <w:pPr>
        <w:rPr>
          <w:szCs w:val="24"/>
        </w:rPr>
      </w:pPr>
      <w:r w:rsidRPr="001C375A">
        <w:rPr>
          <w:szCs w:val="24"/>
        </w:rPr>
        <w:t xml:space="preserve">Όπως προαναφέρθηκε, ο εγκέφαλος, ο νωτιαίος μυελός και ένα </w:t>
      </w:r>
      <w:proofErr w:type="spellStart"/>
      <w:r w:rsidRPr="001C375A">
        <w:rPr>
          <w:szCs w:val="24"/>
        </w:rPr>
        <w:t>νευρωνικό</w:t>
      </w:r>
      <w:proofErr w:type="spellEnd"/>
      <w:r w:rsidRPr="001C375A">
        <w:rPr>
          <w:szCs w:val="24"/>
        </w:rPr>
        <w:t xml:space="preserve"> δίκτυο αποτελούν το ΚΝΣ, που είναι το βασικό σύστημα το οποίο ορίζει την αποστολή και την αποκωδικοποίηση κατά την λήψη όλων εκείνων των πληροφοριών οι οποίες προέρχονται από τα εκάστοτε μέρη του σώματος. Στο ΚΝΣ, γίνεται η επεξεργασία των πληροφοριών και αποτελεί το κέντρο </w:t>
      </w:r>
      <w:r w:rsidRPr="00757500">
        <w:rPr>
          <w:szCs w:val="24"/>
        </w:rPr>
        <w:t xml:space="preserve">ρύθμισης του νευρικού συστήματος. Στον εγκέφαλο επιτελείται η επεξεργασία και η ερμηνεία των πληροφοριών οι οποίες προέρχονται εκ του νωτιαίου μυελού </w:t>
      </w:r>
      <w:r w:rsidRPr="00757500">
        <w:rPr>
          <w:szCs w:val="24"/>
        </w:rPr>
        <w:lastRenderedPageBreak/>
        <w:t>και σχετίζονται με την κίνηση. Οι μήνιγγες που είναι στρώματα συνδετικού ιστού, προστατεύουν τα δύο κύρια συστατικά του Κεντρικού Νευρικού Συστήματος</w:t>
      </w:r>
      <w:r w:rsidRPr="00A9030C">
        <w:rPr>
          <w:szCs w:val="24"/>
        </w:rPr>
        <w:t xml:space="preserve">, εντός του οποίου βρίσκεται ένα σύστημα κοιλοτήτων και έχει </w:t>
      </w:r>
      <w:r w:rsidRPr="0043504A">
        <w:rPr>
          <w:szCs w:val="24"/>
        </w:rPr>
        <w:t>την ονομασία κοιλίες, αποτελώντας την συνέχεια του κεντρικού καναλιού του νωτιαίου μυελού. Ένα ειδικό επιθήλιο που βρίσκεται στο χοριοειδές πλέγμα</w:t>
      </w:r>
      <w:r>
        <w:rPr>
          <w:szCs w:val="24"/>
        </w:rPr>
        <w:t xml:space="preserve"> εντός των κοιλοτήτων του</w:t>
      </w:r>
      <w:r w:rsidRPr="0043504A">
        <w:rPr>
          <w:szCs w:val="24"/>
        </w:rPr>
        <w:t xml:space="preserve">, παράγει το </w:t>
      </w:r>
      <w:r w:rsidRPr="00E32768">
        <w:rPr>
          <w:szCs w:val="24"/>
        </w:rPr>
        <w:t>εγκεφαλονωτιαίο υγρό που γεμίζει τις κοιλίες (</w:t>
      </w:r>
      <w:r w:rsidRPr="00E32768">
        <w:rPr>
          <w:lang w:val="en-US"/>
        </w:rPr>
        <w:t>Burks</w:t>
      </w:r>
      <w:r w:rsidRPr="00E32768">
        <w:t xml:space="preserve">, </w:t>
      </w:r>
      <w:r w:rsidRPr="00E32768">
        <w:rPr>
          <w:lang w:val="en-US"/>
        </w:rPr>
        <w:t>Borkowski</w:t>
      </w:r>
      <w:r w:rsidRPr="00E32768">
        <w:t xml:space="preserve">, </w:t>
      </w:r>
      <w:r w:rsidRPr="00E32768">
        <w:rPr>
          <w:lang w:val="en-US"/>
        </w:rPr>
        <w:t>Damiri</w:t>
      </w:r>
      <w:r w:rsidR="00E32768" w:rsidRPr="00E32768">
        <w:t xml:space="preserve"> &amp; </w:t>
      </w:r>
      <w:r w:rsidRPr="00E32768">
        <w:rPr>
          <w:lang w:val="en-US"/>
        </w:rPr>
        <w:t>Richman</w:t>
      </w:r>
      <w:r w:rsidR="00E32768" w:rsidRPr="00E32768">
        <w:t>, 2006</w:t>
      </w:r>
      <w:r w:rsidRPr="00E32768">
        <w:rPr>
          <w:szCs w:val="24"/>
        </w:rPr>
        <w:t>).</w:t>
      </w:r>
    </w:p>
    <w:p w:rsidR="00C3056B" w:rsidRPr="00FB315F" w:rsidRDefault="00C3056B" w:rsidP="00C3056B">
      <w:pPr>
        <w:rPr>
          <w:szCs w:val="24"/>
        </w:rPr>
      </w:pPr>
      <w:r w:rsidRPr="003D796F">
        <w:rPr>
          <w:szCs w:val="24"/>
        </w:rPr>
        <w:t xml:space="preserve">Πιο αναλυτικά το νευρικό σύστημα έχει δύο βασικές </w:t>
      </w:r>
      <w:r w:rsidRPr="007E1B64">
        <w:rPr>
          <w:szCs w:val="24"/>
        </w:rPr>
        <w:t xml:space="preserve">υποδιαιρέσεις που είναι το ΚΝΣ (κεντρικό νευρικό σύστημα) και τα βασικά του </w:t>
      </w:r>
      <w:r w:rsidRPr="00FB315F">
        <w:rPr>
          <w:szCs w:val="24"/>
        </w:rPr>
        <w:t>όργανα είναι ο εγκέφαλος και ο νωτιαίος μυελός και το ΠΝΣ (περιφερικό νευρικό σύστημα), το οποίο είναι φτιαγμένο από δώδεκα εγκεφαλικές συζυγίες δηλαδή ζεύγη κρανιακών νεύρων, καθώς επίσης και από τριάντα ζεύγη νωτιαίων νεύρων και τέλος αποτελείται και από το αυτόνομο νευρικό σύστημα το οποίο χωρίζεται σε παρασυμπαθητικό και συμπαθητικό</w:t>
      </w:r>
      <w:r w:rsidRPr="004E355E">
        <w:rPr>
          <w:color w:val="0000FF"/>
          <w:szCs w:val="24"/>
        </w:rPr>
        <w:t xml:space="preserve"> (</w:t>
      </w:r>
      <w:proofErr w:type="spellStart"/>
      <w:r w:rsidRPr="00DC0B14">
        <w:rPr>
          <w:szCs w:val="24"/>
        </w:rPr>
        <w:t>Χαρατσή</w:t>
      </w:r>
      <w:proofErr w:type="spellEnd"/>
      <w:r w:rsidRPr="00DC0B14">
        <w:rPr>
          <w:szCs w:val="24"/>
        </w:rPr>
        <w:t xml:space="preserve"> – </w:t>
      </w:r>
      <w:proofErr w:type="spellStart"/>
      <w:r w:rsidRPr="00DC0B14">
        <w:rPr>
          <w:szCs w:val="24"/>
        </w:rPr>
        <w:t>Γιωτάκη</w:t>
      </w:r>
      <w:proofErr w:type="spellEnd"/>
      <w:r w:rsidRPr="00DC0B14">
        <w:rPr>
          <w:szCs w:val="24"/>
        </w:rPr>
        <w:t>, 2010</w:t>
      </w:r>
      <w:r w:rsidRPr="00FB315F">
        <w:rPr>
          <w:szCs w:val="24"/>
        </w:rPr>
        <w:t xml:space="preserve">). </w:t>
      </w:r>
    </w:p>
    <w:p w:rsidR="00C3056B" w:rsidRPr="001656B8" w:rsidRDefault="00C3056B" w:rsidP="00C3056B">
      <w:pPr>
        <w:rPr>
          <w:szCs w:val="24"/>
        </w:rPr>
      </w:pPr>
      <w:r w:rsidRPr="001656B8">
        <w:rPr>
          <w:szCs w:val="24"/>
        </w:rPr>
        <w:t xml:space="preserve">Όπως προαναφέρθηκε, τα δώδεκα ζεύγη των κρανιακών νεύρων τα οποία είναι τμήμα του ΠΝΣ, διακλαδώνονται προς τα έξω από την κρανιακή κοιλότητα από τις σχισμές της. Πιο συγκεκριμένα, τα δώδεκα ζεύγη των νεύρων είναι το οπτικό, το οσφρητικό, το τρίδυμο, το </w:t>
      </w:r>
      <w:proofErr w:type="spellStart"/>
      <w:r w:rsidRPr="001656B8">
        <w:rPr>
          <w:szCs w:val="24"/>
        </w:rPr>
        <w:t>τροχιλιακό</w:t>
      </w:r>
      <w:proofErr w:type="spellEnd"/>
      <w:r w:rsidRPr="001656B8">
        <w:rPr>
          <w:szCs w:val="24"/>
        </w:rPr>
        <w:t xml:space="preserve">, το κοινό κινητικό, το </w:t>
      </w:r>
      <w:proofErr w:type="spellStart"/>
      <w:r w:rsidRPr="001656B8">
        <w:rPr>
          <w:szCs w:val="24"/>
        </w:rPr>
        <w:t>απαγωγό</w:t>
      </w:r>
      <w:proofErr w:type="spellEnd"/>
      <w:r w:rsidRPr="001656B8">
        <w:rPr>
          <w:szCs w:val="24"/>
        </w:rPr>
        <w:t xml:space="preserve">, το προσωπικό, το </w:t>
      </w:r>
      <w:proofErr w:type="spellStart"/>
      <w:r w:rsidRPr="001656B8">
        <w:rPr>
          <w:szCs w:val="24"/>
        </w:rPr>
        <w:t>πνευμονογαστρικό</w:t>
      </w:r>
      <w:proofErr w:type="spellEnd"/>
      <w:r w:rsidRPr="001656B8">
        <w:rPr>
          <w:szCs w:val="24"/>
        </w:rPr>
        <w:t xml:space="preserve">, το γλωσσοφαρυγγικό, το </w:t>
      </w:r>
      <w:proofErr w:type="spellStart"/>
      <w:r w:rsidRPr="00DC0B14">
        <w:rPr>
          <w:szCs w:val="24"/>
        </w:rPr>
        <w:t>αιθουσοκοχλιακό</w:t>
      </w:r>
      <w:proofErr w:type="spellEnd"/>
      <w:r w:rsidRPr="00DC0B14">
        <w:rPr>
          <w:szCs w:val="24"/>
        </w:rPr>
        <w:t>, το υπογλώσσιο και το παραπληρωματικό (</w:t>
      </w:r>
      <w:proofErr w:type="spellStart"/>
      <w:r w:rsidRPr="00DC0B14">
        <w:rPr>
          <w:szCs w:val="24"/>
        </w:rPr>
        <w:t>Drake</w:t>
      </w:r>
      <w:proofErr w:type="spellEnd"/>
      <w:r w:rsidRPr="00DC0B14">
        <w:rPr>
          <w:szCs w:val="24"/>
        </w:rPr>
        <w:t xml:space="preserve">, </w:t>
      </w:r>
      <w:r w:rsidR="00DC0B14" w:rsidRPr="00DC0B14">
        <w:rPr>
          <w:szCs w:val="24"/>
          <w:lang w:val="en-US"/>
        </w:rPr>
        <w:t>Vogl</w:t>
      </w:r>
      <w:r w:rsidR="00DC0B14" w:rsidRPr="00DC0B14">
        <w:rPr>
          <w:szCs w:val="24"/>
        </w:rPr>
        <w:t xml:space="preserve"> &amp; </w:t>
      </w:r>
      <w:r w:rsidR="00DC0B14" w:rsidRPr="00DC0B14">
        <w:rPr>
          <w:szCs w:val="24"/>
          <w:lang w:val="en-US"/>
        </w:rPr>
        <w:t>Mitchell</w:t>
      </w:r>
      <w:r w:rsidRPr="00DC0B14">
        <w:rPr>
          <w:szCs w:val="24"/>
        </w:rPr>
        <w:t>, 2005).</w:t>
      </w:r>
    </w:p>
    <w:p w:rsidR="00C3056B" w:rsidRDefault="00C3056B" w:rsidP="00C3056B">
      <w:pPr>
        <w:rPr>
          <w:szCs w:val="24"/>
        </w:rPr>
      </w:pPr>
      <w:r w:rsidRPr="001656B8">
        <w:rPr>
          <w:szCs w:val="24"/>
        </w:rPr>
        <w:t xml:space="preserve">Κύρια μονάδα λειτουργίας του νευρικού συστήματος, είναι ο νευρώνας, ο οποίος προσλαμβάνει νευρικά ερεθίσματα και στην συνέχεια αφού τα επεξεργάζεται, τα μεταφέρει. Ο νευρώνας, έχει ως </w:t>
      </w:r>
      <w:proofErr w:type="spellStart"/>
      <w:r w:rsidRPr="001656B8">
        <w:rPr>
          <w:szCs w:val="24"/>
        </w:rPr>
        <w:t>σύστατική</w:t>
      </w:r>
      <w:proofErr w:type="spellEnd"/>
      <w:r w:rsidRPr="001656B8">
        <w:rPr>
          <w:szCs w:val="24"/>
        </w:rPr>
        <w:t xml:space="preserve"> δομή το κυτταρικό σώμα, όπου αυτό αποτελείται από τον πυρήνα, τον </w:t>
      </w:r>
      <w:proofErr w:type="spellStart"/>
      <w:r w:rsidRPr="001656B8">
        <w:rPr>
          <w:szCs w:val="24"/>
        </w:rPr>
        <w:t>νευροάξονα</w:t>
      </w:r>
      <w:proofErr w:type="spellEnd"/>
      <w:r w:rsidRPr="001656B8">
        <w:rPr>
          <w:szCs w:val="24"/>
        </w:rPr>
        <w:t xml:space="preserve">, μια αγώγιμη ίνα και τους </w:t>
      </w:r>
      <w:proofErr w:type="spellStart"/>
      <w:r w:rsidRPr="001656B8">
        <w:rPr>
          <w:szCs w:val="24"/>
        </w:rPr>
        <w:t>δενδρίτες</w:t>
      </w:r>
      <w:proofErr w:type="spellEnd"/>
      <w:r w:rsidRPr="001656B8">
        <w:rPr>
          <w:szCs w:val="24"/>
        </w:rPr>
        <w:t xml:space="preserve"> που είναι διακλαδιζόμενες αποφύσεις βραχέως τ</w:t>
      </w:r>
      <w:r w:rsidRPr="009D429C">
        <w:rPr>
          <w:szCs w:val="24"/>
        </w:rPr>
        <w:t xml:space="preserve">ύπου. Στο νευρικό σύστημα επίσης απαντώνται και τα νευρογλοία ή αλλιώς νευρογλοιακά κύτταρα τα οποία είναι εξειδικευμένος τύπος κυττάρων και παρέχουν στους νευρώνες θρεπτική και δομική προστασία υποστηρίζοντας τους με αυτόν τον τρόπο. Ένα </w:t>
      </w:r>
      <w:proofErr w:type="spellStart"/>
      <w:r w:rsidRPr="009D429C">
        <w:rPr>
          <w:szCs w:val="24"/>
        </w:rPr>
        <w:t>λιπιδικό</w:t>
      </w:r>
      <w:proofErr w:type="spellEnd"/>
      <w:r w:rsidRPr="009D429C">
        <w:rPr>
          <w:szCs w:val="24"/>
        </w:rPr>
        <w:t xml:space="preserve"> περίβλημα χρώματος λευκού, καλύπτει αρκετούς από τους </w:t>
      </w:r>
      <w:proofErr w:type="spellStart"/>
      <w:r w:rsidRPr="009D429C">
        <w:rPr>
          <w:szCs w:val="24"/>
        </w:rPr>
        <w:t>νευράξονες</w:t>
      </w:r>
      <w:proofErr w:type="spellEnd"/>
      <w:r w:rsidRPr="009D429C">
        <w:rPr>
          <w:szCs w:val="24"/>
        </w:rPr>
        <w:t xml:space="preserve">. Οι </w:t>
      </w:r>
      <w:proofErr w:type="spellStart"/>
      <w:r w:rsidRPr="009D429C">
        <w:rPr>
          <w:szCs w:val="24"/>
        </w:rPr>
        <w:t>εμμύελοι</w:t>
      </w:r>
      <w:proofErr w:type="spellEnd"/>
      <w:r w:rsidRPr="009D429C">
        <w:rPr>
          <w:szCs w:val="24"/>
        </w:rPr>
        <w:t xml:space="preserve"> </w:t>
      </w:r>
      <w:proofErr w:type="spellStart"/>
      <w:r w:rsidRPr="009D429C">
        <w:rPr>
          <w:szCs w:val="24"/>
        </w:rPr>
        <w:t>νευροάξονες</w:t>
      </w:r>
      <w:proofErr w:type="spellEnd"/>
      <w:r w:rsidRPr="009D429C">
        <w:rPr>
          <w:szCs w:val="24"/>
        </w:rPr>
        <w:t xml:space="preserve"> με </w:t>
      </w:r>
      <w:proofErr w:type="spellStart"/>
      <w:r w:rsidRPr="009D429C">
        <w:rPr>
          <w:szCs w:val="24"/>
        </w:rPr>
        <w:t>μυελίνη</w:t>
      </w:r>
      <w:proofErr w:type="spellEnd"/>
      <w:r w:rsidRPr="009D429C">
        <w:rPr>
          <w:szCs w:val="24"/>
        </w:rPr>
        <w:t xml:space="preserve"> </w:t>
      </w:r>
      <w:proofErr w:type="spellStart"/>
      <w:r w:rsidRPr="009D429C">
        <w:rPr>
          <w:szCs w:val="24"/>
        </w:rPr>
        <w:t>αποκλακούνται</w:t>
      </w:r>
      <w:proofErr w:type="spellEnd"/>
      <w:r w:rsidRPr="009D429C">
        <w:rPr>
          <w:szCs w:val="24"/>
        </w:rPr>
        <w:t xml:space="preserve"> λευκή ουσία λόγω του ότι παρουσιάζονται </w:t>
      </w:r>
      <w:proofErr w:type="spellStart"/>
      <w:r w:rsidRPr="009D429C">
        <w:rPr>
          <w:szCs w:val="24"/>
        </w:rPr>
        <w:t>λευκωποί</w:t>
      </w:r>
      <w:proofErr w:type="spellEnd"/>
      <w:r w:rsidRPr="009D429C">
        <w:rPr>
          <w:szCs w:val="24"/>
        </w:rPr>
        <w:t xml:space="preserve">. Αντίστοιχα, οι </w:t>
      </w:r>
      <w:proofErr w:type="spellStart"/>
      <w:r w:rsidRPr="009D429C">
        <w:rPr>
          <w:szCs w:val="24"/>
        </w:rPr>
        <w:t>νευροάξονες</w:t>
      </w:r>
      <w:proofErr w:type="spellEnd"/>
      <w:r w:rsidRPr="009D429C">
        <w:rPr>
          <w:szCs w:val="24"/>
        </w:rPr>
        <w:t xml:space="preserve"> που δεν έχουν </w:t>
      </w:r>
      <w:proofErr w:type="spellStart"/>
      <w:r w:rsidRPr="009D429C">
        <w:rPr>
          <w:szCs w:val="24"/>
        </w:rPr>
        <w:t>μυελίνη</w:t>
      </w:r>
      <w:proofErr w:type="spellEnd"/>
      <w:r w:rsidRPr="009D429C">
        <w:rPr>
          <w:szCs w:val="24"/>
        </w:rPr>
        <w:t xml:space="preserve"> ονομάζονται φαιά ουσία και είναι γκρίζοι. Στην πρώτη περίπτωση της λευκής ουσίας, οι άξονες εμφανίζουν στο </w:t>
      </w:r>
      <w:proofErr w:type="spellStart"/>
      <w:r w:rsidRPr="009D429C">
        <w:rPr>
          <w:szCs w:val="24"/>
        </w:rPr>
        <w:t>μυελινικό</w:t>
      </w:r>
      <w:proofErr w:type="spellEnd"/>
      <w:r w:rsidRPr="009D429C">
        <w:rPr>
          <w:szCs w:val="24"/>
        </w:rPr>
        <w:t xml:space="preserve"> τους περίβλημα κενά τα οποία καλούνται περισφίξεις του </w:t>
      </w:r>
      <w:proofErr w:type="spellStart"/>
      <w:r w:rsidRPr="009D429C">
        <w:rPr>
          <w:szCs w:val="24"/>
        </w:rPr>
        <w:t>Ranvier</w:t>
      </w:r>
      <w:proofErr w:type="spellEnd"/>
      <w:r>
        <w:rPr>
          <w:szCs w:val="24"/>
        </w:rPr>
        <w:t xml:space="preserve"> και έχουν</w:t>
      </w:r>
      <w:r w:rsidRPr="009D429C">
        <w:rPr>
          <w:szCs w:val="24"/>
        </w:rPr>
        <w:t xml:space="preserve"> καθοριστικό ρόλο στη διαδικασία μετάδοσης ερεθίσματος. Η μετάδοση του ερεθίσματος, επιτυγχάνεται λόγω του ελύτρου της </w:t>
      </w:r>
      <w:proofErr w:type="spellStart"/>
      <w:r w:rsidRPr="009D429C">
        <w:rPr>
          <w:szCs w:val="24"/>
        </w:rPr>
        <w:t>μυελίνης</w:t>
      </w:r>
      <w:proofErr w:type="spellEnd"/>
      <w:r w:rsidRPr="009D429C">
        <w:rPr>
          <w:szCs w:val="24"/>
        </w:rPr>
        <w:t xml:space="preserve"> σε όλο το μήκος του </w:t>
      </w:r>
      <w:proofErr w:type="spellStart"/>
      <w:r w:rsidRPr="009D429C">
        <w:rPr>
          <w:szCs w:val="24"/>
        </w:rPr>
        <w:t>νευράξονα</w:t>
      </w:r>
      <w:proofErr w:type="spellEnd"/>
      <w:r w:rsidRPr="009D429C">
        <w:rPr>
          <w:szCs w:val="24"/>
        </w:rPr>
        <w:t xml:space="preserve">. </w:t>
      </w:r>
    </w:p>
    <w:p w:rsidR="00C3056B" w:rsidRPr="00240DB6" w:rsidRDefault="00C3056B" w:rsidP="00C3056B">
      <w:pPr>
        <w:rPr>
          <w:szCs w:val="24"/>
        </w:rPr>
      </w:pPr>
      <w:r>
        <w:rPr>
          <w:szCs w:val="24"/>
        </w:rPr>
        <w:lastRenderedPageBreak/>
        <w:t xml:space="preserve">Τέλος, ο νωτιαίος μυελός </w:t>
      </w:r>
      <w:r w:rsidRPr="007200C9">
        <w:rPr>
          <w:szCs w:val="24"/>
        </w:rPr>
        <w:t xml:space="preserve">και ο εγκέφαλος </w:t>
      </w:r>
      <w:r w:rsidRPr="00DC0B14">
        <w:rPr>
          <w:szCs w:val="24"/>
        </w:rPr>
        <w:t>προστατεύονται αντίστοιχα από την σπονδυλική στήλη και από το κρανίο (</w:t>
      </w:r>
      <w:proofErr w:type="spellStart"/>
      <w:r w:rsidRPr="00DC0B14">
        <w:rPr>
          <w:szCs w:val="24"/>
        </w:rPr>
        <w:t>Χαρατσή</w:t>
      </w:r>
      <w:proofErr w:type="spellEnd"/>
      <w:r w:rsidRPr="00DC0B14">
        <w:rPr>
          <w:szCs w:val="24"/>
        </w:rPr>
        <w:t xml:space="preserve"> – </w:t>
      </w:r>
      <w:proofErr w:type="spellStart"/>
      <w:r w:rsidRPr="00DC0B14">
        <w:rPr>
          <w:szCs w:val="24"/>
        </w:rPr>
        <w:t>Γιωτάκη</w:t>
      </w:r>
      <w:proofErr w:type="spellEnd"/>
      <w:r w:rsidRPr="00DC0B14">
        <w:rPr>
          <w:szCs w:val="24"/>
        </w:rPr>
        <w:t>, 2010).</w:t>
      </w:r>
    </w:p>
    <w:p w:rsidR="00DC0B14" w:rsidRPr="00DC0B14" w:rsidRDefault="00DC0B14" w:rsidP="00C3056B"/>
    <w:p w:rsidR="00DF7278" w:rsidRDefault="00A50CA8" w:rsidP="00A50CA8">
      <w:pPr>
        <w:pStyle w:val="3"/>
        <w:rPr>
          <w:lang w:eastAsia="el-GR"/>
        </w:rPr>
      </w:pPr>
      <w:bookmarkStart w:id="6" w:name="_Toc57241612"/>
      <w:r w:rsidRPr="00A50CA8">
        <w:rPr>
          <w:lang w:eastAsia="el-GR"/>
        </w:rPr>
        <w:t xml:space="preserve">1.1.1 </w:t>
      </w:r>
      <w:r w:rsidR="00DF7278" w:rsidRPr="00A50CA8">
        <w:rPr>
          <w:lang w:eastAsia="el-GR"/>
        </w:rPr>
        <w:t>Εγκέφαλος</w:t>
      </w:r>
      <w:bookmarkEnd w:id="6"/>
    </w:p>
    <w:p w:rsidR="00C3056B" w:rsidRPr="00115959" w:rsidRDefault="00C3056B" w:rsidP="00C3056B">
      <w:pPr>
        <w:rPr>
          <w:szCs w:val="24"/>
        </w:rPr>
      </w:pPr>
      <w:r w:rsidRPr="00DB75A5">
        <w:rPr>
          <w:szCs w:val="24"/>
        </w:rPr>
        <w:t>Το βασικότερο στοιχείο του ΚΝΣ είναι ο εγκέφαλος με το εγκεφαλονωτιαίο υγρό να τον προστατεύει από τυχόν τραυματισμό, περικυκλώνοντας τον</w:t>
      </w:r>
      <w:r>
        <w:rPr>
          <w:szCs w:val="24"/>
        </w:rPr>
        <w:t xml:space="preserve"> κάτι που συμβαίνει επ</w:t>
      </w:r>
      <w:r w:rsidRPr="00DB75A5">
        <w:rPr>
          <w:szCs w:val="24"/>
        </w:rPr>
        <w:t xml:space="preserve">ίσης και </w:t>
      </w:r>
      <w:r>
        <w:rPr>
          <w:szCs w:val="24"/>
        </w:rPr>
        <w:t>σ</w:t>
      </w:r>
      <w:r w:rsidRPr="00DB75A5">
        <w:rPr>
          <w:szCs w:val="24"/>
        </w:rPr>
        <w:t xml:space="preserve">τον νωτιαίο μυελό. </w:t>
      </w:r>
      <w:r>
        <w:rPr>
          <w:szCs w:val="24"/>
        </w:rPr>
        <w:t>Επιπρόσθετ</w:t>
      </w:r>
      <w:r w:rsidRPr="00DB75A5">
        <w:rPr>
          <w:szCs w:val="24"/>
        </w:rPr>
        <w:t xml:space="preserve">α, μέσω του υγρού, ρέουν προς τον εγκέφαλο τα θρεπτικά συστατικά. </w:t>
      </w:r>
      <w:r>
        <w:rPr>
          <w:szCs w:val="24"/>
        </w:rPr>
        <w:t xml:space="preserve">Ο ίδιος ο εγκέφαλος προστατεύεται από τις τρεις μήνιγγες που είναι προστατευτικοί υμένες. </w:t>
      </w:r>
      <w:r w:rsidRPr="00DB75A5">
        <w:rPr>
          <w:szCs w:val="24"/>
        </w:rPr>
        <w:t xml:space="preserve">Όπως προκύπτει από τα παραπάνω, ο εγκέφαλος αποτελεί το κέντρο ελέγχου ολόκληρου </w:t>
      </w:r>
      <w:r>
        <w:rPr>
          <w:szCs w:val="24"/>
        </w:rPr>
        <w:t xml:space="preserve">του σώματος και </w:t>
      </w:r>
      <w:r w:rsidRPr="00B0023B">
        <w:rPr>
          <w:szCs w:val="24"/>
        </w:rPr>
        <w:t xml:space="preserve">υποδιαιρείται σε τρία κύρια όργανα τα οποία είναι ο κυρίως εγκέφαλος, το εγκεφαλικό στέλεχος και η παρεγκεφαλίδα. Ο κυρίως εγκέφαλος χωρίζεται σε δύο ημισφαίρια </w:t>
      </w:r>
      <w:r>
        <w:rPr>
          <w:szCs w:val="24"/>
        </w:rPr>
        <w:t>(</w:t>
      </w:r>
      <w:r w:rsidRPr="00B0023B">
        <w:rPr>
          <w:szCs w:val="24"/>
        </w:rPr>
        <w:t>αριστερό και το δεξί</w:t>
      </w:r>
      <w:r>
        <w:rPr>
          <w:szCs w:val="24"/>
        </w:rPr>
        <w:t xml:space="preserve">) με ένα χώρισμα στη μέση που ονομάζεται επιμήκης σχισμή. </w:t>
      </w:r>
      <w:r w:rsidRPr="00B0023B">
        <w:rPr>
          <w:szCs w:val="24"/>
        </w:rPr>
        <w:t>Στον κυρίως εγκέφαλο επιτελούνται όλες οι νοητικές λειτουργίες ενός ανθρώπου, ενώ στο εγκεφαλικό στέλεχος επιτελούνται οι βασικότερες ζωτικές λειτουργίες. Τέλος, η παρεγκεφαλίδα ευθύνεται για την ισορροπία και τη διατήρηση της καθώς επίσης και για τον συντονισμό των κινήσεων ολόκληρου του σώματος.</w:t>
      </w:r>
      <w:r>
        <w:rPr>
          <w:szCs w:val="24"/>
        </w:rPr>
        <w:t xml:space="preserve"> Χωρίζεται στην </w:t>
      </w:r>
      <w:proofErr w:type="spellStart"/>
      <w:r>
        <w:rPr>
          <w:szCs w:val="24"/>
        </w:rPr>
        <w:t>αρχαιοπαρεγκεφαλίδα</w:t>
      </w:r>
      <w:proofErr w:type="spellEnd"/>
      <w:r>
        <w:rPr>
          <w:szCs w:val="24"/>
        </w:rPr>
        <w:t xml:space="preserve">, στην </w:t>
      </w:r>
      <w:proofErr w:type="spellStart"/>
      <w:r>
        <w:rPr>
          <w:szCs w:val="24"/>
        </w:rPr>
        <w:t>παλαιοπαρεγκεφαλίδα</w:t>
      </w:r>
      <w:proofErr w:type="spellEnd"/>
      <w:r>
        <w:rPr>
          <w:szCs w:val="24"/>
        </w:rPr>
        <w:t xml:space="preserve"> και την </w:t>
      </w:r>
      <w:proofErr w:type="spellStart"/>
      <w:r>
        <w:rPr>
          <w:szCs w:val="24"/>
        </w:rPr>
        <w:t>νεοπαρεγκεφαλίδα</w:t>
      </w:r>
      <w:proofErr w:type="spellEnd"/>
      <w:r w:rsidR="00DC0B14">
        <w:rPr>
          <w:szCs w:val="24"/>
        </w:rPr>
        <w:t xml:space="preserve"> (</w:t>
      </w:r>
      <w:r w:rsidR="00DC0B14">
        <w:rPr>
          <w:szCs w:val="24"/>
          <w:lang w:val="en-US"/>
        </w:rPr>
        <w:t>Drake</w:t>
      </w:r>
      <w:r w:rsidR="00DC0B14" w:rsidRPr="00DC0B14">
        <w:rPr>
          <w:szCs w:val="24"/>
        </w:rPr>
        <w:t xml:space="preserve"> </w:t>
      </w:r>
      <w:r w:rsidR="00DC0B14">
        <w:rPr>
          <w:szCs w:val="24"/>
          <w:lang w:val="en-US"/>
        </w:rPr>
        <w:t>et</w:t>
      </w:r>
      <w:r w:rsidR="00DC0B14" w:rsidRPr="00DC0B14">
        <w:rPr>
          <w:szCs w:val="24"/>
        </w:rPr>
        <w:t xml:space="preserve"> </w:t>
      </w:r>
      <w:r w:rsidR="00DC0B14">
        <w:rPr>
          <w:szCs w:val="24"/>
          <w:lang w:val="en-US"/>
        </w:rPr>
        <w:t>al</w:t>
      </w:r>
      <w:r w:rsidR="00DC0B14" w:rsidRPr="00DC0B14">
        <w:rPr>
          <w:szCs w:val="24"/>
        </w:rPr>
        <w:t>.,</w:t>
      </w:r>
      <w:r w:rsidR="00DC0B14" w:rsidRPr="00046F22">
        <w:rPr>
          <w:szCs w:val="24"/>
        </w:rPr>
        <w:t xml:space="preserve"> 2005)</w:t>
      </w:r>
      <w:r w:rsidRPr="00115959">
        <w:rPr>
          <w:szCs w:val="24"/>
        </w:rPr>
        <w:t xml:space="preserve">. </w:t>
      </w:r>
    </w:p>
    <w:p w:rsidR="00C3056B" w:rsidRPr="00115959" w:rsidRDefault="00C3056B" w:rsidP="00C3056B">
      <w:pPr>
        <w:rPr>
          <w:szCs w:val="24"/>
        </w:rPr>
      </w:pPr>
      <w:r w:rsidRPr="00115959">
        <w:rPr>
          <w:szCs w:val="24"/>
        </w:rPr>
        <w:t>Κατά την αναπτυξιακή διαδικασία του ανθρώπου, ο εγκέφαλος δύναται να υποδιαιρεθεί σε συνεχόμενα τμήματα τα οποία είναι πέντε και από μπροστά προς τα πίσω είναι τα εξής</w:t>
      </w:r>
      <w:r w:rsidR="00046F22" w:rsidRPr="00046F22">
        <w:rPr>
          <w:szCs w:val="24"/>
        </w:rPr>
        <w:t xml:space="preserve"> (</w:t>
      </w:r>
      <w:r w:rsidR="00046F22">
        <w:rPr>
          <w:szCs w:val="24"/>
          <w:lang w:val="en-US"/>
        </w:rPr>
        <w:t>Drake</w:t>
      </w:r>
      <w:r w:rsidR="00046F22" w:rsidRPr="00046F22">
        <w:rPr>
          <w:szCs w:val="24"/>
        </w:rPr>
        <w:t xml:space="preserve">, </w:t>
      </w:r>
      <w:r w:rsidR="00046F22">
        <w:rPr>
          <w:szCs w:val="24"/>
          <w:lang w:val="en-US"/>
        </w:rPr>
        <w:t>et</w:t>
      </w:r>
      <w:r w:rsidR="00046F22" w:rsidRPr="00046F22">
        <w:rPr>
          <w:szCs w:val="24"/>
        </w:rPr>
        <w:t xml:space="preserve"> </w:t>
      </w:r>
      <w:r w:rsidR="00046F22">
        <w:rPr>
          <w:szCs w:val="24"/>
          <w:lang w:val="en-US"/>
        </w:rPr>
        <w:t>al</w:t>
      </w:r>
      <w:r w:rsidR="00046F22" w:rsidRPr="00046F22">
        <w:rPr>
          <w:szCs w:val="24"/>
        </w:rPr>
        <w:t>.</w:t>
      </w:r>
      <w:r w:rsidR="00046F22" w:rsidRPr="00500D75">
        <w:rPr>
          <w:szCs w:val="24"/>
        </w:rPr>
        <w:t>, 2005)</w:t>
      </w:r>
      <w:r w:rsidRPr="00115959">
        <w:rPr>
          <w:szCs w:val="24"/>
        </w:rPr>
        <w:t xml:space="preserve">: </w:t>
      </w:r>
    </w:p>
    <w:p w:rsidR="00C3056B" w:rsidRPr="00816680" w:rsidRDefault="00C3056B" w:rsidP="00C3056B">
      <w:pPr>
        <w:rPr>
          <w:szCs w:val="24"/>
        </w:rPr>
      </w:pPr>
      <w:r w:rsidRPr="00115959">
        <w:rPr>
          <w:szCs w:val="24"/>
        </w:rPr>
        <w:t xml:space="preserve">1. </w:t>
      </w:r>
      <w:proofErr w:type="spellStart"/>
      <w:r>
        <w:rPr>
          <w:szCs w:val="24"/>
        </w:rPr>
        <w:t>Τ</w:t>
      </w:r>
      <w:r w:rsidRPr="00115959">
        <w:rPr>
          <w:szCs w:val="24"/>
        </w:rPr>
        <w:t>ελεγκέφαλος</w:t>
      </w:r>
      <w:proofErr w:type="spellEnd"/>
      <w:r>
        <w:rPr>
          <w:szCs w:val="24"/>
        </w:rPr>
        <w:t>,</w:t>
      </w:r>
      <w:r w:rsidRPr="00115959">
        <w:rPr>
          <w:szCs w:val="24"/>
        </w:rPr>
        <w:t xml:space="preserve"> ο πρόσθιος ή αλλιώς ονομάζεται και τελικός εγκέφαλος </w:t>
      </w:r>
      <w:r>
        <w:rPr>
          <w:szCs w:val="24"/>
        </w:rPr>
        <w:t>όπου σχηματίζονται</w:t>
      </w:r>
      <w:r w:rsidRPr="00115959">
        <w:rPr>
          <w:szCs w:val="24"/>
        </w:rPr>
        <w:t xml:space="preserve"> μεγάλα ημισφαίρια, επί της επιφάνειας των οποίων παρατηρούνται οι έλικες που είναι ανάγλυφες προβολές, καθώς επίσης και οι αύλακες που είναι ουσιαστικά εμβαθύνσεις</w:t>
      </w:r>
      <w:r w:rsidRPr="00816680">
        <w:rPr>
          <w:szCs w:val="24"/>
        </w:rPr>
        <w:t xml:space="preserve">. </w:t>
      </w:r>
    </w:p>
    <w:p w:rsidR="00C3056B" w:rsidRPr="00816680" w:rsidRDefault="00C3056B" w:rsidP="00C3056B">
      <w:pPr>
        <w:rPr>
          <w:szCs w:val="24"/>
        </w:rPr>
      </w:pPr>
      <w:r>
        <w:rPr>
          <w:szCs w:val="24"/>
        </w:rPr>
        <w:t>2.</w:t>
      </w:r>
      <w:r w:rsidRPr="00816680">
        <w:rPr>
          <w:szCs w:val="24"/>
        </w:rPr>
        <w:t xml:space="preserve"> </w:t>
      </w:r>
      <w:proofErr w:type="spellStart"/>
      <w:r w:rsidRPr="00816680">
        <w:rPr>
          <w:szCs w:val="24"/>
        </w:rPr>
        <w:t>Διεγκέφαλος</w:t>
      </w:r>
      <w:proofErr w:type="spellEnd"/>
      <w:r w:rsidRPr="00816680">
        <w:rPr>
          <w:szCs w:val="24"/>
        </w:rPr>
        <w:t xml:space="preserve"> που είναι ο διάμεσος εγκέφαλος και σε έναν ενήλικα υπάρχει κάλυψη από τα εγκεφαλικά ημισφαίρια. Πιο αναλυτικά, απαρτίζεται από το θάλαμο, τον υποθάλαμο καθώς επίσης και από άλλα μορφώματα. Αποτελεί το πρόσθιο τμήμα του εγκεφαλικού στελέχους. </w:t>
      </w:r>
    </w:p>
    <w:p w:rsidR="00C3056B" w:rsidRPr="005C5428" w:rsidRDefault="00C3056B" w:rsidP="00C3056B">
      <w:pPr>
        <w:rPr>
          <w:szCs w:val="24"/>
        </w:rPr>
      </w:pPr>
      <w:r>
        <w:rPr>
          <w:szCs w:val="24"/>
        </w:rPr>
        <w:t xml:space="preserve">3. </w:t>
      </w:r>
      <w:r w:rsidRPr="00816680">
        <w:rPr>
          <w:szCs w:val="24"/>
        </w:rPr>
        <w:t xml:space="preserve">Ο μέσος εγκέφαλος ή αλλιώς </w:t>
      </w:r>
      <w:proofErr w:type="spellStart"/>
      <w:r w:rsidRPr="00816680">
        <w:rPr>
          <w:szCs w:val="24"/>
        </w:rPr>
        <w:t>μεσεγκέφαλος</w:t>
      </w:r>
      <w:proofErr w:type="spellEnd"/>
      <w:r w:rsidRPr="00816680">
        <w:rPr>
          <w:szCs w:val="24"/>
        </w:rPr>
        <w:t xml:space="preserve"> που αποτελεί το υπ’ αριθμόν νούμερο ένα τμήμα του εγκεφαλικού στελέχους. Σε εξέταση του εγκεφάλου εις του ακεραίου ενός ενήλικα, διακρίνεται στη συμβολή του οπίσθιου και μέσου κρανιακού βόθρου.</w:t>
      </w:r>
    </w:p>
    <w:p w:rsidR="00C3056B" w:rsidRPr="0093632B" w:rsidRDefault="00C3056B" w:rsidP="00C3056B">
      <w:pPr>
        <w:rPr>
          <w:szCs w:val="24"/>
        </w:rPr>
      </w:pPr>
      <w:r>
        <w:rPr>
          <w:szCs w:val="24"/>
        </w:rPr>
        <w:lastRenderedPageBreak/>
        <w:t>4.</w:t>
      </w:r>
      <w:r w:rsidRPr="005C5428">
        <w:rPr>
          <w:szCs w:val="24"/>
        </w:rPr>
        <w:t xml:space="preserve"> Ο οπίσθιος εγκέφαλος ονομάζεται </w:t>
      </w:r>
      <w:proofErr w:type="spellStart"/>
      <w:r w:rsidRPr="005C5428">
        <w:rPr>
          <w:szCs w:val="24"/>
        </w:rPr>
        <w:t>μετεγκέφαλος</w:t>
      </w:r>
      <w:proofErr w:type="spellEnd"/>
      <w:r w:rsidRPr="005C5428">
        <w:rPr>
          <w:szCs w:val="24"/>
        </w:rPr>
        <w:t xml:space="preserve"> και σχηματίζει την παρεγκεφαλίδα αποτελούμενη από τα δυο ημισφαίρια και το μεσαίο τμήμα, καθώς επίσης σχηματίζει και τη γέφυρα που είναι ένα εμπρόσθιο από την παρεγκεφαλίδα όγκωμα του εγκεφαλικού στελέχους</w:t>
      </w:r>
      <w:r w:rsidRPr="0093632B">
        <w:rPr>
          <w:szCs w:val="24"/>
        </w:rPr>
        <w:t>.</w:t>
      </w:r>
    </w:p>
    <w:p w:rsidR="00C3056B" w:rsidRPr="0093632B" w:rsidRDefault="00C3056B" w:rsidP="00C3056B">
      <w:pPr>
        <w:rPr>
          <w:szCs w:val="24"/>
        </w:rPr>
      </w:pPr>
      <w:r>
        <w:rPr>
          <w:szCs w:val="24"/>
        </w:rPr>
        <w:t>5.</w:t>
      </w:r>
      <w:r w:rsidRPr="0093632B">
        <w:rPr>
          <w:szCs w:val="24"/>
        </w:rPr>
        <w:t xml:space="preserve"> Τέλος, είναι ο προμήκης μυελός ή αλλιώς μυελεγκέφαλος που αποτελεί το ουραίο τμήμα του εγκεφαλικού στελέχους. Αυτό, τερματίζεται στα ανώτατα </w:t>
      </w:r>
      <w:proofErr w:type="spellStart"/>
      <w:r w:rsidRPr="0093632B">
        <w:rPr>
          <w:szCs w:val="24"/>
        </w:rPr>
        <w:t>εκφυτικά</w:t>
      </w:r>
      <w:proofErr w:type="spellEnd"/>
      <w:r w:rsidRPr="0093632B">
        <w:rPr>
          <w:szCs w:val="24"/>
        </w:rPr>
        <w:t xml:space="preserve"> ριζίδια αυχενικού νεύρου ή στο ινιακό.</w:t>
      </w:r>
    </w:p>
    <w:p w:rsidR="00C3056B" w:rsidRPr="00C3056B" w:rsidRDefault="00C3056B" w:rsidP="00C3056B">
      <w:pPr>
        <w:rPr>
          <w:lang w:eastAsia="el-GR"/>
        </w:rPr>
      </w:pPr>
    </w:p>
    <w:p w:rsidR="00DF7278" w:rsidRDefault="00A50CA8" w:rsidP="00A50CA8">
      <w:pPr>
        <w:pStyle w:val="3"/>
        <w:rPr>
          <w:lang w:eastAsia="el-GR"/>
        </w:rPr>
      </w:pPr>
      <w:bookmarkStart w:id="7" w:name="_Toc57241613"/>
      <w:r w:rsidRPr="00A50CA8">
        <w:rPr>
          <w:lang w:eastAsia="el-GR"/>
        </w:rPr>
        <w:t xml:space="preserve">1.1.2 </w:t>
      </w:r>
      <w:r w:rsidR="00DF7278" w:rsidRPr="00A50CA8">
        <w:rPr>
          <w:lang w:eastAsia="el-GR"/>
        </w:rPr>
        <w:t>Νωτιαίος μυελός</w:t>
      </w:r>
      <w:bookmarkEnd w:id="7"/>
      <w:r w:rsidR="00B967D3" w:rsidRPr="00A50CA8">
        <w:rPr>
          <w:highlight w:val="green"/>
          <w:lang w:eastAsia="el-GR"/>
        </w:rPr>
        <w:t xml:space="preserve"> </w:t>
      </w:r>
    </w:p>
    <w:p w:rsidR="00C3056B" w:rsidRPr="00240DB6" w:rsidRDefault="00C3056B" w:rsidP="00C3056B">
      <w:pPr>
        <w:rPr>
          <w:szCs w:val="24"/>
        </w:rPr>
      </w:pPr>
      <w:r w:rsidRPr="007200C9">
        <w:rPr>
          <w:szCs w:val="24"/>
        </w:rPr>
        <w:t>Όπως προαναφέρθηκε, ο νωτιαίος μυελός, είναι το άλλο κύριο συστατικό του ΚΝΣ. Ουσιαστικά, πρόκειται για μια διαμορφωμένη δέσμη που αποτελείται από νευρικές ίνες και έχει κυλινδρική μορφή, φτάνοντας μέχρι τον εγκέφαλο με τον οποίο και συνδέονται. Προστατεύεται από την σπονδυλική στήλη που ξεκινάει από το κρανίο και φτάνει έως την μέση. Μέσα από τα νεύρα του νωτιαίου μυελού μεταδίδονται οι εκάστοτε πληροφορίες που προέρχονται από τα διάφορα όργανα καθώς επίσης παράλληλα μεταφέρει προς τον εγκέφαλο τα εξωτερικά ερεθίσματα</w:t>
      </w:r>
      <w:r>
        <w:rPr>
          <w:szCs w:val="24"/>
        </w:rPr>
        <w:t xml:space="preserve"> </w:t>
      </w:r>
      <w:r w:rsidRPr="007200C9">
        <w:rPr>
          <w:szCs w:val="24"/>
        </w:rPr>
        <w:t>που λαμβάνει. Μέσα από τον νωτιαίο μυελό και τα νεύρα αυτού, στέλνονται οι πληροφορίες προς όλα τα μέρη του σώματος που προέρχονται από το μυαλό. Υπάρχει συγκρότηση των νεύρων του νωτιαίου μυελού σε δέσμες νευρικών ινών οι οποίες έχουν δύο κατευθύνσεις</w:t>
      </w:r>
      <w:r w:rsidR="00500D75" w:rsidRPr="00A25213">
        <w:rPr>
          <w:szCs w:val="24"/>
        </w:rPr>
        <w:t xml:space="preserve"> (</w:t>
      </w:r>
      <w:r w:rsidR="00500D75">
        <w:rPr>
          <w:szCs w:val="24"/>
          <w:lang w:val="en-US"/>
        </w:rPr>
        <w:t>Frostell</w:t>
      </w:r>
      <w:r w:rsidR="00500D75" w:rsidRPr="00A25213">
        <w:rPr>
          <w:szCs w:val="24"/>
        </w:rPr>
        <w:t xml:space="preserve">, </w:t>
      </w:r>
      <w:r w:rsidR="00500D75">
        <w:rPr>
          <w:szCs w:val="24"/>
          <w:lang w:val="en-US"/>
        </w:rPr>
        <w:t>Hakim</w:t>
      </w:r>
      <w:r w:rsidR="00500D75" w:rsidRPr="00A25213">
        <w:rPr>
          <w:szCs w:val="24"/>
        </w:rPr>
        <w:t xml:space="preserve">, </w:t>
      </w:r>
      <w:r w:rsidR="00500D75">
        <w:rPr>
          <w:szCs w:val="24"/>
          <w:lang w:val="en-US"/>
        </w:rPr>
        <w:t>THelin</w:t>
      </w:r>
      <w:r w:rsidR="00500D75" w:rsidRPr="00A25213">
        <w:rPr>
          <w:szCs w:val="24"/>
        </w:rPr>
        <w:t xml:space="preserve">, </w:t>
      </w:r>
      <w:r w:rsidR="00500D75">
        <w:rPr>
          <w:szCs w:val="24"/>
          <w:lang w:val="en-US"/>
        </w:rPr>
        <w:t>Mattsson</w:t>
      </w:r>
      <w:r w:rsidR="00500D75" w:rsidRPr="00A25213">
        <w:rPr>
          <w:szCs w:val="24"/>
        </w:rPr>
        <w:t xml:space="preserve"> &amp; </w:t>
      </w:r>
      <w:r w:rsidR="00500D75">
        <w:rPr>
          <w:szCs w:val="24"/>
          <w:lang w:val="en-US"/>
        </w:rPr>
        <w:t>Svensson</w:t>
      </w:r>
      <w:r w:rsidR="00500D75" w:rsidRPr="00A25213">
        <w:rPr>
          <w:szCs w:val="24"/>
        </w:rPr>
        <w:t>, 2016)</w:t>
      </w:r>
      <w:r w:rsidRPr="007200C9">
        <w:rPr>
          <w:szCs w:val="24"/>
        </w:rPr>
        <w:t>.</w:t>
      </w:r>
    </w:p>
    <w:p w:rsidR="00D86173" w:rsidRPr="00240DB6" w:rsidRDefault="00D86173" w:rsidP="00C3056B">
      <w:pPr>
        <w:rPr>
          <w:szCs w:val="24"/>
        </w:rPr>
      </w:pPr>
    </w:p>
    <w:p w:rsidR="00DF7278" w:rsidRDefault="00A50CA8" w:rsidP="00A50CA8">
      <w:pPr>
        <w:pStyle w:val="3"/>
        <w:rPr>
          <w:lang w:eastAsia="el-GR"/>
        </w:rPr>
      </w:pPr>
      <w:bookmarkStart w:id="8" w:name="_Toc57241614"/>
      <w:r w:rsidRPr="00A50CA8">
        <w:rPr>
          <w:lang w:eastAsia="el-GR"/>
        </w:rPr>
        <w:t xml:space="preserve">1.1.3 </w:t>
      </w:r>
      <w:r w:rsidR="00DF7278" w:rsidRPr="00A50CA8">
        <w:rPr>
          <w:lang w:eastAsia="el-GR"/>
        </w:rPr>
        <w:t>Νευρώνες</w:t>
      </w:r>
      <w:bookmarkEnd w:id="8"/>
      <w:r w:rsidR="00DF7278" w:rsidRPr="00A50CA8">
        <w:rPr>
          <w:lang w:eastAsia="el-GR"/>
        </w:rPr>
        <w:t xml:space="preserve"> </w:t>
      </w:r>
    </w:p>
    <w:p w:rsidR="00C3056B" w:rsidRPr="00D3168E" w:rsidRDefault="00C3056B" w:rsidP="00C3056B">
      <w:pPr>
        <w:rPr>
          <w:szCs w:val="24"/>
        </w:rPr>
      </w:pPr>
      <w:r w:rsidRPr="00564C10">
        <w:rPr>
          <w:szCs w:val="24"/>
        </w:rPr>
        <w:t xml:space="preserve">Οι νευρώνες, είναι συστατικά που αποτελούν τα κελιά του νευρικού συστήματος και περιέχουν νευρικές διεργασίες οι οποίες αποτελούνται από </w:t>
      </w:r>
      <w:proofErr w:type="spellStart"/>
      <w:r w:rsidRPr="00564C10">
        <w:rPr>
          <w:szCs w:val="24"/>
        </w:rPr>
        <w:t>δενδρίτες</w:t>
      </w:r>
      <w:proofErr w:type="spellEnd"/>
      <w:r w:rsidRPr="00564C10">
        <w:rPr>
          <w:szCs w:val="24"/>
        </w:rPr>
        <w:t xml:space="preserve"> και άξονες. Τα στοιχεία αυτά, είναι ικανά να παίρνουν και να μεταδίδουν σήματα. Οι </w:t>
      </w:r>
      <w:proofErr w:type="spellStart"/>
      <w:r w:rsidRPr="00564C10">
        <w:rPr>
          <w:szCs w:val="24"/>
        </w:rPr>
        <w:t>δενδρίτες</w:t>
      </w:r>
      <w:proofErr w:type="spellEnd"/>
      <w:r w:rsidRPr="00564C10">
        <w:rPr>
          <w:szCs w:val="24"/>
        </w:rPr>
        <w:t xml:space="preserve"> και οι άξονες έχουν μεταξύ τους δεσίματα που ονομάζονται νεύρα. Τα νεύρα είναι αυτά που στέλνουν τα σήματα από τον εγκέφαλο και τον νωτιαίο μυελό καθώς επίσης και τα λοιπά όργανα, κάτι που γίνεται με τις νευρικές </w:t>
      </w:r>
      <w:r w:rsidRPr="00D3168E">
        <w:rPr>
          <w:szCs w:val="24"/>
        </w:rPr>
        <w:t xml:space="preserve">ωθήσεις. </w:t>
      </w:r>
    </w:p>
    <w:p w:rsidR="00C3056B" w:rsidRPr="00D3168E" w:rsidRDefault="00C3056B" w:rsidP="00C3056B">
      <w:pPr>
        <w:rPr>
          <w:szCs w:val="24"/>
        </w:rPr>
      </w:pPr>
      <w:r w:rsidRPr="00D3168E">
        <w:rPr>
          <w:szCs w:val="24"/>
        </w:rPr>
        <w:t xml:space="preserve">Υπάρχει διαχωρισμός των νευρώνων σε κατηγορίες που είναι οι </w:t>
      </w:r>
      <w:proofErr w:type="spellStart"/>
      <w:r w:rsidRPr="00D3168E">
        <w:rPr>
          <w:szCs w:val="24"/>
        </w:rPr>
        <w:t>ενδονευρώνες</w:t>
      </w:r>
      <w:proofErr w:type="spellEnd"/>
      <w:r w:rsidRPr="00D3168E">
        <w:rPr>
          <w:szCs w:val="24"/>
        </w:rPr>
        <w:t xml:space="preserve">, οι νευρώνες της αίσθησης και της κίνησης. Στην κατηγορία των </w:t>
      </w:r>
      <w:proofErr w:type="spellStart"/>
      <w:r w:rsidRPr="00D3168E">
        <w:rPr>
          <w:szCs w:val="24"/>
        </w:rPr>
        <w:t>ενδονευρώνων</w:t>
      </w:r>
      <w:proofErr w:type="spellEnd"/>
      <w:r w:rsidRPr="00D3168E">
        <w:rPr>
          <w:szCs w:val="24"/>
        </w:rPr>
        <w:t xml:space="preserve"> ανήκουν αυτοί που συνδυάζουν τα σήματα ανάμεσα στους νευρώνες της αίσθησης και της κίνησης. Οι νευρώνες της αίσθησης μεταφέρουν πληροφορίες από τα εξωτερικά ερεθίσματα ή από τα εσωτερικά όργανα προς το ΚΝΣ. Αντίστοιχα οι νευρώνες της κίνησης στέλνουν τις </w:t>
      </w:r>
      <w:r w:rsidRPr="00D3168E">
        <w:rPr>
          <w:szCs w:val="24"/>
        </w:rPr>
        <w:lastRenderedPageBreak/>
        <w:t>πληροφορίες που προέρχονται από το ΚΝΣ προς τους μυς και τα διάφορα όργανα</w:t>
      </w:r>
      <w:r w:rsidR="00D86173">
        <w:rPr>
          <w:szCs w:val="24"/>
        </w:rPr>
        <w:t xml:space="preserve"> </w:t>
      </w:r>
      <w:r w:rsidR="00D86173" w:rsidRPr="00D86173">
        <w:rPr>
          <w:szCs w:val="24"/>
        </w:rPr>
        <w:t>(</w:t>
      </w:r>
      <w:proofErr w:type="spellStart"/>
      <w:r w:rsidR="00D86173" w:rsidRPr="00D86173">
        <w:rPr>
          <w:szCs w:val="24"/>
        </w:rPr>
        <w:t>Sutton</w:t>
      </w:r>
      <w:proofErr w:type="spellEnd"/>
      <w:r w:rsidR="00D86173" w:rsidRPr="00D86173">
        <w:rPr>
          <w:szCs w:val="24"/>
        </w:rPr>
        <w:t xml:space="preserve"> and </w:t>
      </w:r>
      <w:proofErr w:type="spellStart"/>
      <w:r w:rsidR="00D86173" w:rsidRPr="00D86173">
        <w:rPr>
          <w:szCs w:val="24"/>
        </w:rPr>
        <w:t>Schuman</w:t>
      </w:r>
      <w:proofErr w:type="spellEnd"/>
      <w:r w:rsidR="00D86173" w:rsidRPr="00D86173">
        <w:rPr>
          <w:szCs w:val="24"/>
        </w:rPr>
        <w:t>, 2006).</w:t>
      </w:r>
    </w:p>
    <w:p w:rsidR="00C3056B" w:rsidRPr="00C3056B" w:rsidRDefault="00C3056B" w:rsidP="00C3056B">
      <w:pPr>
        <w:rPr>
          <w:lang w:eastAsia="el-GR"/>
        </w:rPr>
      </w:pPr>
    </w:p>
    <w:p w:rsidR="00A358AA" w:rsidRDefault="00A50CA8" w:rsidP="00A50CA8">
      <w:pPr>
        <w:pStyle w:val="2"/>
        <w:rPr>
          <w:szCs w:val="24"/>
        </w:rPr>
      </w:pPr>
      <w:bookmarkStart w:id="9" w:name="_Toc57241615"/>
      <w:r w:rsidRPr="00A50CA8">
        <w:rPr>
          <w:szCs w:val="24"/>
        </w:rPr>
        <w:t xml:space="preserve">1.2 </w:t>
      </w:r>
      <w:r w:rsidR="00A358AA" w:rsidRPr="00A50CA8">
        <w:rPr>
          <w:szCs w:val="24"/>
        </w:rPr>
        <w:t>Φυσιολογία νευρικού συστήματος</w:t>
      </w:r>
      <w:bookmarkEnd w:id="9"/>
      <w:r w:rsidR="00B967D3" w:rsidRPr="00A50CA8">
        <w:rPr>
          <w:szCs w:val="24"/>
        </w:rPr>
        <w:t xml:space="preserve"> </w:t>
      </w:r>
    </w:p>
    <w:p w:rsidR="00C3056B" w:rsidRPr="002F55FC" w:rsidRDefault="00C3056B" w:rsidP="00C3056B">
      <w:pPr>
        <w:rPr>
          <w:szCs w:val="24"/>
        </w:rPr>
      </w:pPr>
      <w:r w:rsidRPr="00D3168E">
        <w:rPr>
          <w:szCs w:val="24"/>
        </w:rPr>
        <w:t>Είναι υψίστης σημασίας η εργασία που επιτελεί το νευρικό σύστημα ενός οργανισμού, μια και είναι το σύστημα που βοηθάει τον οργανισμό να νιώθει τα περιβαλλοντολογικά ερεθίσματα, τον βοηθάει να τα επεξεργάζεται και έτσι να μπορεί να αντιδράσει με άμεσο τρόπο προς σε αυτά.</w:t>
      </w:r>
      <w:r w:rsidRPr="004E355E">
        <w:rPr>
          <w:color w:val="0000FF"/>
          <w:szCs w:val="24"/>
        </w:rPr>
        <w:t xml:space="preserve"> </w:t>
      </w:r>
      <w:r w:rsidRPr="00D3168E">
        <w:rPr>
          <w:szCs w:val="24"/>
        </w:rPr>
        <w:t xml:space="preserve">Πέρα όμως από τον έλεγχο τον οποίο ασκεί πλειοψηφικά στις διεργασίες και μάλιστα με άμεσο τρόπο, υπάρχει σύνδεση του νευρικού συστήματος και με τα όργανα του σώματος στο σύνολό τους, επηρεάζοντας </w:t>
      </w:r>
      <w:r w:rsidRPr="0082686C">
        <w:rPr>
          <w:szCs w:val="24"/>
        </w:rPr>
        <w:t xml:space="preserve">με αυτόν τον τρόπο τις λειτουργίες αυτών. Στον νευρώνα, μεταφέρονται οι πληροφορίες μέσω των ερεθισμάτων από τους </w:t>
      </w:r>
      <w:proofErr w:type="spellStart"/>
      <w:r w:rsidRPr="0082686C">
        <w:rPr>
          <w:szCs w:val="24"/>
        </w:rPr>
        <w:t>δενδρίτες</w:t>
      </w:r>
      <w:proofErr w:type="spellEnd"/>
      <w:r w:rsidRPr="0082686C">
        <w:rPr>
          <w:szCs w:val="24"/>
        </w:rPr>
        <w:t xml:space="preserve"> στο κυτταρικό σώμα. Στον </w:t>
      </w:r>
      <w:proofErr w:type="spellStart"/>
      <w:r w:rsidRPr="0082686C">
        <w:rPr>
          <w:szCs w:val="24"/>
        </w:rPr>
        <w:t>νευράξονα</w:t>
      </w:r>
      <w:proofErr w:type="spellEnd"/>
      <w:r w:rsidRPr="0082686C">
        <w:rPr>
          <w:szCs w:val="24"/>
        </w:rPr>
        <w:t xml:space="preserve"> μεταφέρονται τα ερεθίσματα προς τους λοιπούς ιστούς από το νευρικό κύτταρο. Τα νευρικά ερεθίσματα μεταφέρονται από την νευρική μεμβράνη που είναι η κυτταρική μεμβράνη που έχει ο νευρώνας, και πιο συγκεκριμένα η μεταφορά των ερεθισμάτων συμβαίνει μέσω της μεταβολής που υπάρχει στο ηλεκτρικό δυναμικό της. Έτσι, είναι «ηλεκτρικός» ουσιαστικά ο τρόπος με τον οποίο μεταβιβάζονται τα ερεθίσματα αυτά</w:t>
      </w:r>
      <w:r>
        <w:rPr>
          <w:szCs w:val="24"/>
        </w:rPr>
        <w:t>,</w:t>
      </w:r>
      <w:r w:rsidRPr="0082686C">
        <w:rPr>
          <w:szCs w:val="24"/>
        </w:rPr>
        <w:t xml:space="preserve"> οπότε για αυτό και καλούνται νευρικά ερεθίσματα. Ως βασική λειτουργία οι νευρώνες έχουν το να προσλαμβάνουν, να επεξεργάζονται και τέλος να μεταφέρουν τα δεχόμενα νευρικά ερεθίσματα, όπως αντίστοιχα τα νευρογλοιακά κύτταρα έχουν ως βασική λειτουργία το να υποστηρίζουν με θρεπτική και δομική προστασία τους </w:t>
      </w:r>
      <w:r w:rsidRPr="002F55FC">
        <w:rPr>
          <w:szCs w:val="24"/>
        </w:rPr>
        <w:t>νευρώνες (</w:t>
      </w:r>
      <w:proofErr w:type="spellStart"/>
      <w:r w:rsidRPr="002F55FC">
        <w:rPr>
          <w:szCs w:val="24"/>
        </w:rPr>
        <w:t>Χαρατσή</w:t>
      </w:r>
      <w:proofErr w:type="spellEnd"/>
      <w:r w:rsidRPr="002F55FC">
        <w:rPr>
          <w:szCs w:val="24"/>
        </w:rPr>
        <w:t xml:space="preserve"> – </w:t>
      </w:r>
      <w:proofErr w:type="spellStart"/>
      <w:r w:rsidRPr="002F55FC">
        <w:rPr>
          <w:szCs w:val="24"/>
        </w:rPr>
        <w:t>Γιωτάκη</w:t>
      </w:r>
      <w:proofErr w:type="spellEnd"/>
      <w:r w:rsidRPr="002F55FC">
        <w:rPr>
          <w:szCs w:val="24"/>
        </w:rPr>
        <w:t>, 2010).</w:t>
      </w:r>
    </w:p>
    <w:p w:rsidR="00C3056B" w:rsidRPr="002F55FC" w:rsidRDefault="00C3056B" w:rsidP="00C3056B">
      <w:pPr>
        <w:rPr>
          <w:szCs w:val="24"/>
        </w:rPr>
      </w:pPr>
      <w:r w:rsidRPr="0082686C">
        <w:rPr>
          <w:szCs w:val="24"/>
        </w:rPr>
        <w:t xml:space="preserve">Παράλληλα, το εγκεφαλονωτιαίο υγρό βρίσκεται και κυκλοφορεί μέσα από τις τέσσερις κοιλίες του εγκεφάλου καθώς και στον </w:t>
      </w:r>
      <w:proofErr w:type="spellStart"/>
      <w:r w:rsidRPr="0082686C">
        <w:rPr>
          <w:szCs w:val="24"/>
        </w:rPr>
        <w:t>υπαραχ</w:t>
      </w:r>
      <w:r w:rsidRPr="00D722F7">
        <w:rPr>
          <w:szCs w:val="24"/>
        </w:rPr>
        <w:t>νοειδή</w:t>
      </w:r>
      <w:proofErr w:type="spellEnd"/>
      <w:r w:rsidRPr="00D722F7">
        <w:rPr>
          <w:szCs w:val="24"/>
        </w:rPr>
        <w:t xml:space="preserve"> χώρο ο οποίος βρίσκεται γύρω από τον νωτιαίο μυελό αλλά και τον εγκέφαλο. Το μεγαλύτερο ποσοστό του εγκεφαλονωτιαίου υγρού </w:t>
      </w:r>
      <w:proofErr w:type="spellStart"/>
      <w:r w:rsidRPr="00D722F7">
        <w:rPr>
          <w:szCs w:val="24"/>
        </w:rPr>
        <w:t>επαναρροφάται</w:t>
      </w:r>
      <w:proofErr w:type="spellEnd"/>
      <w:r w:rsidRPr="00D722F7">
        <w:rPr>
          <w:szCs w:val="24"/>
        </w:rPr>
        <w:t xml:space="preserve"> εντός του φλεβικού συστήματος μέσα από τα αραχνοειδή και τα τοιχώματα των τριχοειδών αγγείων του Κεντρικού Νευρικού Συστήματος, καθώς και της χοριοειδούς μήνιγγας. Φυσιολογικά, στον </w:t>
      </w:r>
      <w:proofErr w:type="spellStart"/>
      <w:r w:rsidRPr="00D722F7">
        <w:rPr>
          <w:szCs w:val="24"/>
        </w:rPr>
        <w:t>υπαραχνοειδή</w:t>
      </w:r>
      <w:proofErr w:type="spellEnd"/>
      <w:r w:rsidRPr="00D722F7">
        <w:rPr>
          <w:szCs w:val="24"/>
        </w:rPr>
        <w:t xml:space="preserve"> χώρο εμπεριέχονται 500ml ανά 24ώρες, γεγονός που συνάγει με ανανέωση του εγκεφαλονωτιαίου υγρού 3 φορές περίπου κάθε 24ώρες. Στο αυχενικό πλέγμα, δίδεται γένεση σε 31 ζεύγη νεύρων από τον νωτιαίο μυελό, όπως επίσης και στο </w:t>
      </w:r>
      <w:proofErr w:type="spellStart"/>
      <w:r w:rsidRPr="00D722F7">
        <w:rPr>
          <w:szCs w:val="24"/>
        </w:rPr>
        <w:t>βραχιόνιο</w:t>
      </w:r>
      <w:proofErr w:type="spellEnd"/>
      <w:r w:rsidRPr="00D722F7">
        <w:rPr>
          <w:szCs w:val="24"/>
        </w:rPr>
        <w:t xml:space="preserve"> πλέγμα που βρίσκεται στα άνω άκρα αλλά και στο </w:t>
      </w:r>
      <w:proofErr w:type="spellStart"/>
      <w:r w:rsidRPr="00D722F7">
        <w:rPr>
          <w:szCs w:val="24"/>
        </w:rPr>
        <w:t>οσφυοϊερό</w:t>
      </w:r>
      <w:proofErr w:type="spellEnd"/>
      <w:r w:rsidRPr="00D722F7">
        <w:rPr>
          <w:szCs w:val="24"/>
        </w:rPr>
        <w:t xml:space="preserve"> πλέγμα των κά</w:t>
      </w:r>
      <w:r w:rsidRPr="004D5C01">
        <w:rPr>
          <w:szCs w:val="24"/>
        </w:rPr>
        <w:t xml:space="preserve">τω άκρων και επίσης στην πύελο. Τα </w:t>
      </w:r>
      <w:proofErr w:type="spellStart"/>
      <w:r w:rsidRPr="004D5C01">
        <w:rPr>
          <w:szCs w:val="24"/>
        </w:rPr>
        <w:t>νωτιαία</w:t>
      </w:r>
      <w:proofErr w:type="spellEnd"/>
      <w:r w:rsidRPr="004D5C01">
        <w:rPr>
          <w:szCs w:val="24"/>
        </w:rPr>
        <w:t xml:space="preserve"> νεύρα με τις κινητικές ίνες </w:t>
      </w:r>
      <w:proofErr w:type="spellStart"/>
      <w:r w:rsidRPr="004D5C01">
        <w:rPr>
          <w:szCs w:val="24"/>
        </w:rPr>
        <w:t>νευρώνουν</w:t>
      </w:r>
      <w:proofErr w:type="spellEnd"/>
      <w:r w:rsidRPr="004D5C01">
        <w:rPr>
          <w:szCs w:val="24"/>
        </w:rPr>
        <w:t xml:space="preserve"> τους μυς του σκελετού ενώ οι αισθητικές ίνες αποδίδουν πληροφορίες στο Κεντρικό Νευρικό Σύστημα δια μέσου των αρθρώσεων, των σκελετικών </w:t>
      </w:r>
      <w:r w:rsidRPr="002F55FC">
        <w:rPr>
          <w:szCs w:val="24"/>
        </w:rPr>
        <w:t>μυών και του δέρματος</w:t>
      </w:r>
      <w:r w:rsidR="002F55FC" w:rsidRPr="002F55FC">
        <w:rPr>
          <w:szCs w:val="24"/>
        </w:rPr>
        <w:t xml:space="preserve"> (</w:t>
      </w:r>
      <w:proofErr w:type="spellStart"/>
      <w:r w:rsidR="002F55FC" w:rsidRPr="002F55FC">
        <w:rPr>
          <w:szCs w:val="24"/>
        </w:rPr>
        <w:t>Hansen</w:t>
      </w:r>
      <w:proofErr w:type="spellEnd"/>
      <w:r w:rsidR="002F55FC" w:rsidRPr="002F55FC">
        <w:rPr>
          <w:szCs w:val="24"/>
        </w:rPr>
        <w:t xml:space="preserve"> &amp; </w:t>
      </w:r>
      <w:r w:rsidR="002F55FC" w:rsidRPr="002F55FC">
        <w:rPr>
          <w:szCs w:val="24"/>
          <w:lang w:val="en-US"/>
        </w:rPr>
        <w:t>K</w:t>
      </w:r>
      <w:proofErr w:type="spellStart"/>
      <w:r w:rsidRPr="002F55FC">
        <w:rPr>
          <w:szCs w:val="24"/>
        </w:rPr>
        <w:t>oeppen</w:t>
      </w:r>
      <w:proofErr w:type="spellEnd"/>
      <w:r w:rsidRPr="002F55FC">
        <w:rPr>
          <w:szCs w:val="24"/>
        </w:rPr>
        <w:t>,</w:t>
      </w:r>
      <w:r w:rsidR="002F55FC" w:rsidRPr="002F55FC">
        <w:rPr>
          <w:szCs w:val="24"/>
        </w:rPr>
        <w:t>,</w:t>
      </w:r>
      <w:r w:rsidRPr="002F55FC">
        <w:rPr>
          <w:szCs w:val="24"/>
        </w:rPr>
        <w:t xml:space="preserve"> 2002).</w:t>
      </w:r>
    </w:p>
    <w:p w:rsidR="00C3056B" w:rsidRPr="0009607B" w:rsidRDefault="00C3056B" w:rsidP="00C3056B">
      <w:pPr>
        <w:rPr>
          <w:szCs w:val="24"/>
        </w:rPr>
      </w:pPr>
      <w:r w:rsidRPr="004D5C01">
        <w:rPr>
          <w:szCs w:val="24"/>
        </w:rPr>
        <w:lastRenderedPageBreak/>
        <w:t>Πέρα από το Κεντρικό Νευρικό Σύστημα που αποτελείται από τον νωτιαίο μυελό και τον εγκέφαλο, το Περιφερικό Νευρικό Σύστημα αποτελείται από το σύνολο των υπόλοιπων νευρικών στοιχείων, παρέχοντας όλες τις απαραίτητες συνδέσεις ανάμεσα στο Κεντρικό Νευρικό Σύστημα και στα υπόλοιπα οργανικά συστήματα ενός σώματος.</w:t>
      </w:r>
      <w:r w:rsidRPr="004E355E">
        <w:rPr>
          <w:color w:val="0000FF"/>
          <w:szCs w:val="24"/>
        </w:rPr>
        <w:t xml:space="preserve"> </w:t>
      </w:r>
      <w:r w:rsidRPr="004D5C01">
        <w:rPr>
          <w:szCs w:val="24"/>
        </w:rPr>
        <w:t>Πιο συγκεκριμένα, το Περιφερικό Νευρικό Σύστημα αποτελείται από αυτόνομα και σωματικ</w:t>
      </w:r>
      <w:r w:rsidRPr="0009607B">
        <w:rPr>
          <w:szCs w:val="24"/>
        </w:rPr>
        <w:t>ά στοιχεία. Πιο αναλυτικά:</w:t>
      </w:r>
    </w:p>
    <w:p w:rsidR="00C3056B" w:rsidRPr="002F55FC" w:rsidRDefault="00C3056B" w:rsidP="00C3056B">
      <w:pPr>
        <w:rPr>
          <w:szCs w:val="24"/>
        </w:rPr>
      </w:pPr>
      <w:r w:rsidRPr="0009607B">
        <w:rPr>
          <w:szCs w:val="24"/>
        </w:rPr>
        <w:t xml:space="preserve">1. Το Αυτόνομο Νευρικό Σύστημα, λειτουργεί ανεξάρτητα και είναι το σύστημα εντός του οποίου συμπεριλαμβάνονται οι φυγόκεντροι νευρώνες οι οποίοι </w:t>
      </w:r>
      <w:proofErr w:type="spellStart"/>
      <w:r w:rsidRPr="0009607B">
        <w:rPr>
          <w:szCs w:val="24"/>
        </w:rPr>
        <w:t>νευρώνουν</w:t>
      </w:r>
      <w:proofErr w:type="spellEnd"/>
      <w:r w:rsidRPr="0009607B">
        <w:rPr>
          <w:szCs w:val="24"/>
        </w:rPr>
        <w:t xml:space="preserve"> τους ακούσιους μυς και τους αδένες, καθώς και το τοπικό νευρικό σύστημα των κοιλιακών σπλάχνων. Υπάρχουν 3 τμήματα εντός του Αυτόνομου Νευρικού Συστήματος που είναι το εντερικό, το παρασυμπαθητικό και το συμπαθητικό. Οι δύο βασικότερες φυγοκεντρικοί οδοί του ΑΝΣ, είναι τα παρασυμπαθητικά και τα συμπαθητικά τμήματα. Μέσω αυτού του συστήματος, ελέγχονται και ρυθμίζονται οι σπλαχνικές λειτουργίες του οργανισμού, όπως επίσης συμπεριλαμβάνονται και η πέψη, η αρτηριακή πίεση, η καρδιακή συχνότητα, η λειτουργία του αναπαραγωγικού και </w:t>
      </w:r>
      <w:r w:rsidRPr="002F55FC">
        <w:rPr>
          <w:szCs w:val="24"/>
        </w:rPr>
        <w:t>η θερμορύθμιση του σώματος (</w:t>
      </w:r>
      <w:r w:rsidRPr="002F55FC">
        <w:rPr>
          <w:szCs w:val="24"/>
          <w:lang w:val="en-US"/>
        </w:rPr>
        <w:t>Boron</w:t>
      </w:r>
      <w:r w:rsidR="002F55FC" w:rsidRPr="002F55FC">
        <w:rPr>
          <w:szCs w:val="24"/>
        </w:rPr>
        <w:t xml:space="preserve"> &amp;</w:t>
      </w:r>
      <w:r w:rsidRPr="002F55FC">
        <w:rPr>
          <w:szCs w:val="24"/>
        </w:rPr>
        <w:t xml:space="preserve"> </w:t>
      </w:r>
      <w:r w:rsidRPr="002F55FC">
        <w:rPr>
          <w:szCs w:val="24"/>
          <w:lang w:val="en-US"/>
        </w:rPr>
        <w:t>Boulpaep</w:t>
      </w:r>
      <w:r w:rsidRPr="002F55FC">
        <w:rPr>
          <w:szCs w:val="24"/>
        </w:rPr>
        <w:t xml:space="preserve">, 2006). </w:t>
      </w:r>
    </w:p>
    <w:p w:rsidR="00C3056B" w:rsidRPr="005D4C5D" w:rsidRDefault="00C3056B" w:rsidP="00C3056B">
      <w:pPr>
        <w:rPr>
          <w:szCs w:val="24"/>
        </w:rPr>
      </w:pPr>
      <w:r w:rsidRPr="0009607B">
        <w:rPr>
          <w:szCs w:val="24"/>
        </w:rPr>
        <w:t xml:space="preserve">2. Το Περιφερικό Νευρικό Σύστημα εκτός από το Αυτόνομο Νευρικό Σύστημα, αποτελείται και από το </w:t>
      </w:r>
      <w:r>
        <w:rPr>
          <w:szCs w:val="24"/>
        </w:rPr>
        <w:t>Σ</w:t>
      </w:r>
      <w:r w:rsidRPr="0009607B">
        <w:rPr>
          <w:szCs w:val="24"/>
        </w:rPr>
        <w:t xml:space="preserve">ωματικό </w:t>
      </w:r>
      <w:r>
        <w:rPr>
          <w:szCs w:val="24"/>
        </w:rPr>
        <w:t>Σ</w:t>
      </w:r>
      <w:r w:rsidRPr="0009607B">
        <w:rPr>
          <w:szCs w:val="24"/>
        </w:rPr>
        <w:t xml:space="preserve">τοιχείο που ουσιαστικά </w:t>
      </w:r>
      <w:proofErr w:type="spellStart"/>
      <w:r w:rsidRPr="0009607B">
        <w:rPr>
          <w:szCs w:val="24"/>
        </w:rPr>
        <w:t>νευρώνει</w:t>
      </w:r>
      <w:proofErr w:type="spellEnd"/>
      <w:r w:rsidRPr="0009607B">
        <w:rPr>
          <w:szCs w:val="24"/>
        </w:rPr>
        <w:t xml:space="preserve"> το δέρμα και τους μύε</w:t>
      </w:r>
      <w:r w:rsidRPr="006C5D52">
        <w:rPr>
          <w:szCs w:val="24"/>
        </w:rPr>
        <w:t xml:space="preserve">ς του σκελετού. Εντός των Σωματικών Στοιχείων που βρίσκονται στα Περιφερικά Νεύρα, εμπεριέχονται οι αισθητικοί και οι κινητικοί άξονες. Αντίστοιχα, τα κυτταρικά σώματα των αισθητικών νευρώνων είναι τοποθετημένα στα ραχιαία γάγγλια των ριζών ενώ των κινητικών νευρώνων είναι στη φαιά ουσία και συγκεκριμένα στο πρόσθιο </w:t>
      </w:r>
      <w:proofErr w:type="spellStart"/>
      <w:r w:rsidRPr="006C5D52">
        <w:rPr>
          <w:szCs w:val="24"/>
        </w:rPr>
        <w:t>κέρας</w:t>
      </w:r>
      <w:proofErr w:type="spellEnd"/>
      <w:r w:rsidRPr="006C5D52">
        <w:rPr>
          <w:szCs w:val="24"/>
        </w:rPr>
        <w:t xml:space="preserve"> της</w:t>
      </w:r>
      <w:r w:rsidRPr="004E355E">
        <w:rPr>
          <w:color w:val="0000FF"/>
          <w:szCs w:val="24"/>
        </w:rPr>
        <w:t xml:space="preserve"> </w:t>
      </w:r>
      <w:r w:rsidR="002F55FC" w:rsidRPr="002F55FC">
        <w:rPr>
          <w:szCs w:val="24"/>
        </w:rPr>
        <w:t>(</w:t>
      </w:r>
      <w:proofErr w:type="spellStart"/>
      <w:r w:rsidR="002F55FC" w:rsidRPr="002F55FC">
        <w:rPr>
          <w:szCs w:val="24"/>
        </w:rPr>
        <w:t>Hansen</w:t>
      </w:r>
      <w:proofErr w:type="spellEnd"/>
      <w:r w:rsidR="002F55FC" w:rsidRPr="002F55FC">
        <w:rPr>
          <w:szCs w:val="24"/>
        </w:rPr>
        <w:t xml:space="preserve"> &amp; </w:t>
      </w:r>
      <w:r w:rsidR="002F55FC" w:rsidRPr="002F55FC">
        <w:rPr>
          <w:szCs w:val="24"/>
          <w:lang w:val="en-US"/>
        </w:rPr>
        <w:t>K</w:t>
      </w:r>
      <w:proofErr w:type="spellStart"/>
      <w:r w:rsidR="002F55FC" w:rsidRPr="002F55FC">
        <w:rPr>
          <w:szCs w:val="24"/>
        </w:rPr>
        <w:t>oeppen</w:t>
      </w:r>
      <w:proofErr w:type="spellEnd"/>
      <w:r w:rsidR="002F55FC" w:rsidRPr="002F55FC">
        <w:rPr>
          <w:szCs w:val="24"/>
        </w:rPr>
        <w:t>,, 2002).</w:t>
      </w:r>
    </w:p>
    <w:p w:rsidR="002F55FC" w:rsidRPr="002F55FC" w:rsidRDefault="00C3056B" w:rsidP="002F55FC">
      <w:pPr>
        <w:rPr>
          <w:szCs w:val="24"/>
        </w:rPr>
      </w:pPr>
      <w:r w:rsidRPr="005D4C5D">
        <w:rPr>
          <w:szCs w:val="24"/>
        </w:rPr>
        <w:t xml:space="preserve">Νευρογλοιακά κύτταρα και νευρώνες αποτελούν τον νευρικό ιστό. Το πιο σύνθετο και περίπλοκο έργο στο σώμα συγκριτικά με κάθε άλλης μορφής κύτταρο, το επιτελούν οι νευρώνες και για αυτόν τον λόγο παρουσιάζουν αρκετά πολύπλοκη φυσιολογία και μορφολογία. Έκαστος νευρώνας αποτελεί μια περίπλοκη εξειδικευμένη υπολογιστική συσκευή. Δεκάδες χιλιάδες νευρώνες μπορούν να στείλουν χημικά σήματα σε έναν μόνο μεμονωμένο νευρώνα. Ο ίδιος μόλις τα δεχτεί, μεταφράζει τα αμέτρητα σήματα σε ένα πιο απλό σύνολο από ηλεκτρικές μεταβολές στο μήκος της μεμβράνης του κυττάρου του. Οι εν λόγω ιοντικές </w:t>
      </w:r>
      <w:proofErr w:type="spellStart"/>
      <w:r w:rsidRPr="005D4C5D">
        <w:rPr>
          <w:szCs w:val="24"/>
        </w:rPr>
        <w:t>διαμεμβρανικές</w:t>
      </w:r>
      <w:proofErr w:type="spellEnd"/>
      <w:r w:rsidRPr="005D4C5D">
        <w:rPr>
          <w:szCs w:val="24"/>
        </w:rPr>
        <w:t xml:space="preserve"> μεταβολές μετατρέπονται από τον νευρώνα σύμφωνα με καθορισμένους εκ της ξεχωριστής του μορφής, κανόνες, καθώς επίσης σε αυτές τις μεταβολές συνεισφέρουν και οι ιδιαίτερες ηλεκτρικές ιδιότητες του, διαβιβάζοντας με αυτόν τον τρόπο ένα μονήρες καινούργιο μήνυμα διαμέσου του άξονα του. Ο άξονας αυτός, δύναται από</w:t>
      </w:r>
      <w:r w:rsidRPr="00CA5519">
        <w:rPr>
          <w:szCs w:val="24"/>
        </w:rPr>
        <w:t xml:space="preserve"> μονός </w:t>
      </w:r>
      <w:r w:rsidRPr="00CA5519">
        <w:rPr>
          <w:szCs w:val="24"/>
        </w:rPr>
        <w:lastRenderedPageBreak/>
        <w:t>του να έχει επαφές, μεταδίδοντας σε εκατοντάδες διαφορετικούς νευρώνες, πληροφορίες. Οι νευρώνες, υπό κατάλληλες συνθήκες, έχουν την μνημονική ιδιότητα, με αποτέλεσμα ορισμένες εκ των πληροφοριών οι οποίες διασχίζουν τις συνάψεις να αποθηκεύονται για κάποια χρονικά διαστήματα που μπορεί να φτάνουν μέχρι και αρκετά έτη</w:t>
      </w:r>
      <w:r w:rsidRPr="004E355E">
        <w:rPr>
          <w:color w:val="0000FF"/>
          <w:szCs w:val="24"/>
        </w:rPr>
        <w:t xml:space="preserve"> </w:t>
      </w:r>
      <w:r w:rsidR="002F55FC" w:rsidRPr="002F55FC">
        <w:rPr>
          <w:szCs w:val="24"/>
        </w:rPr>
        <w:t>(</w:t>
      </w:r>
      <w:r w:rsidR="002F55FC" w:rsidRPr="002F55FC">
        <w:rPr>
          <w:szCs w:val="24"/>
          <w:lang w:val="en-US"/>
        </w:rPr>
        <w:t>Boron</w:t>
      </w:r>
      <w:r w:rsidR="002F55FC" w:rsidRPr="002F55FC">
        <w:rPr>
          <w:szCs w:val="24"/>
        </w:rPr>
        <w:t xml:space="preserve"> &amp; </w:t>
      </w:r>
      <w:r w:rsidR="002F55FC" w:rsidRPr="002F55FC">
        <w:rPr>
          <w:szCs w:val="24"/>
          <w:lang w:val="en-US"/>
        </w:rPr>
        <w:t>Boulpaep</w:t>
      </w:r>
      <w:r w:rsidR="002F55FC" w:rsidRPr="002F55FC">
        <w:rPr>
          <w:szCs w:val="24"/>
        </w:rPr>
        <w:t xml:space="preserve">, 2006). </w:t>
      </w:r>
    </w:p>
    <w:p w:rsidR="00C3056B" w:rsidRPr="00C3056B" w:rsidRDefault="00C3056B" w:rsidP="00C3056B"/>
    <w:p w:rsidR="00A358AA" w:rsidRPr="00A50CA8" w:rsidRDefault="00A50CA8" w:rsidP="00A50CA8">
      <w:pPr>
        <w:pStyle w:val="2"/>
        <w:rPr>
          <w:rStyle w:val="a3"/>
          <w:b/>
          <w:bCs/>
        </w:rPr>
      </w:pPr>
      <w:bookmarkStart w:id="10" w:name="_Toc57241616"/>
      <w:r w:rsidRPr="00A50CA8">
        <w:rPr>
          <w:rStyle w:val="a3"/>
          <w:b/>
          <w:bCs/>
        </w:rPr>
        <w:t xml:space="preserve">1.3 </w:t>
      </w:r>
      <w:proofErr w:type="spellStart"/>
      <w:r w:rsidR="00A358AA" w:rsidRPr="00A50CA8">
        <w:rPr>
          <w:rStyle w:val="a3"/>
          <w:b/>
          <w:bCs/>
        </w:rPr>
        <w:t>Απομυελινωτικά</w:t>
      </w:r>
      <w:proofErr w:type="spellEnd"/>
      <w:r w:rsidR="00A358AA" w:rsidRPr="00A50CA8">
        <w:rPr>
          <w:rStyle w:val="a3"/>
          <w:b/>
          <w:bCs/>
        </w:rPr>
        <w:t xml:space="preserve"> νοσήματα</w:t>
      </w:r>
      <w:bookmarkEnd w:id="10"/>
      <w:r w:rsidR="00B967D3" w:rsidRPr="00A50CA8">
        <w:rPr>
          <w:rStyle w:val="a3"/>
          <w:b/>
          <w:bCs/>
        </w:rPr>
        <w:t xml:space="preserve"> </w:t>
      </w:r>
    </w:p>
    <w:p w:rsidR="00C3056B" w:rsidRPr="007669FC" w:rsidRDefault="00C3056B" w:rsidP="00C3056B">
      <w:pPr>
        <w:rPr>
          <w:szCs w:val="24"/>
        </w:rPr>
      </w:pPr>
      <w:r w:rsidRPr="00AD1F09">
        <w:rPr>
          <w:szCs w:val="24"/>
        </w:rPr>
        <w:t xml:space="preserve">Ως βασικός εκπρόσωπος των </w:t>
      </w:r>
      <w:proofErr w:type="spellStart"/>
      <w:r w:rsidRPr="00AD1F09">
        <w:rPr>
          <w:szCs w:val="24"/>
        </w:rPr>
        <w:t>απομυελινωτικών</w:t>
      </w:r>
      <w:proofErr w:type="spellEnd"/>
      <w:r w:rsidRPr="00AD1F09">
        <w:rPr>
          <w:szCs w:val="24"/>
        </w:rPr>
        <w:t xml:space="preserve"> παθήσεων εμφανίζεται να είναι η πάθηση της σκλήρυνσης κατά πλάκας που επηρεάζει άμεσα το Κεντρικό Νευρικό Σύστημα. Στην περίπτωση της ασθένειας αυτής, υπάρχει καταστροφή της φυσιολογικής αναπτυχθείσας </w:t>
      </w:r>
      <w:proofErr w:type="spellStart"/>
      <w:r w:rsidRPr="00AD1F09">
        <w:rPr>
          <w:szCs w:val="24"/>
        </w:rPr>
        <w:t>μυελίνης</w:t>
      </w:r>
      <w:proofErr w:type="spellEnd"/>
      <w:r w:rsidRPr="00AD1F09">
        <w:rPr>
          <w:szCs w:val="24"/>
        </w:rPr>
        <w:t xml:space="preserve"> ή του κυττάρου που είναι η πηγή παραγωγής αυτής, ενώ συνδέεται με παρουσία φλεγμονώδους αντίδρασης και</w:t>
      </w:r>
      <w:r w:rsidRPr="00954807">
        <w:rPr>
          <w:szCs w:val="24"/>
        </w:rPr>
        <w:t xml:space="preserve"> με αυτόν τον τρόπο επέρχεται η </w:t>
      </w:r>
      <w:proofErr w:type="spellStart"/>
      <w:r w:rsidRPr="00954807">
        <w:rPr>
          <w:szCs w:val="24"/>
        </w:rPr>
        <w:t>απομυελίνωση</w:t>
      </w:r>
      <w:proofErr w:type="spellEnd"/>
      <w:r w:rsidRPr="00954807">
        <w:rPr>
          <w:szCs w:val="24"/>
        </w:rPr>
        <w:t xml:space="preserve">. Όταν υπάρχει πρωτοπαθής βιοχημική ανωμαλία και δεν ολοκληρώνεται η παραγωγή </w:t>
      </w:r>
      <w:proofErr w:type="spellStart"/>
      <w:r w:rsidRPr="00954807">
        <w:rPr>
          <w:szCs w:val="24"/>
        </w:rPr>
        <w:t>μυελίνης</w:t>
      </w:r>
      <w:proofErr w:type="spellEnd"/>
      <w:r w:rsidRPr="00954807">
        <w:rPr>
          <w:szCs w:val="24"/>
        </w:rPr>
        <w:t xml:space="preserve">, τότε υπάρχει </w:t>
      </w:r>
      <w:proofErr w:type="spellStart"/>
      <w:r w:rsidRPr="00954807">
        <w:rPr>
          <w:szCs w:val="24"/>
        </w:rPr>
        <w:t>δυσμυελίνωση</w:t>
      </w:r>
      <w:proofErr w:type="spellEnd"/>
      <w:r w:rsidRPr="00954807">
        <w:rPr>
          <w:szCs w:val="24"/>
        </w:rPr>
        <w:t xml:space="preserve">. Οι παθήσεις </w:t>
      </w:r>
      <w:proofErr w:type="spellStart"/>
      <w:r w:rsidRPr="00954807">
        <w:rPr>
          <w:szCs w:val="24"/>
        </w:rPr>
        <w:t>δυσμυελ</w:t>
      </w:r>
      <w:r w:rsidR="00032E5F">
        <w:rPr>
          <w:szCs w:val="24"/>
        </w:rPr>
        <w:t>ί</w:t>
      </w:r>
      <w:r w:rsidRPr="00954807">
        <w:rPr>
          <w:szCs w:val="24"/>
        </w:rPr>
        <w:t>νωσης</w:t>
      </w:r>
      <w:proofErr w:type="spellEnd"/>
      <w:r w:rsidRPr="00954807">
        <w:rPr>
          <w:szCs w:val="24"/>
        </w:rPr>
        <w:t xml:space="preserve"> είναι νοσήματα σχετικά σπάνια και συχνά έχουν κληρονομικό υπόβαθρο, εμφανίζοντας κάποια κοινά </w:t>
      </w:r>
      <w:proofErr w:type="spellStart"/>
      <w:r w:rsidRPr="00954807">
        <w:rPr>
          <w:szCs w:val="24"/>
        </w:rPr>
        <w:t>παθολογοανατομικά</w:t>
      </w:r>
      <w:proofErr w:type="spellEnd"/>
      <w:r w:rsidRPr="00954807">
        <w:rPr>
          <w:szCs w:val="24"/>
        </w:rPr>
        <w:t xml:space="preserve"> ή κλινικά ευρήματα. Ορισμένες παθήσεις τέτοιου τύπου είναι το σύνδρομο </w:t>
      </w:r>
      <w:proofErr w:type="spellStart"/>
      <w:r w:rsidRPr="00954807">
        <w:rPr>
          <w:szCs w:val="24"/>
        </w:rPr>
        <w:t>Cocckayne</w:t>
      </w:r>
      <w:proofErr w:type="spellEnd"/>
      <w:r w:rsidRPr="00954807">
        <w:rPr>
          <w:szCs w:val="24"/>
        </w:rPr>
        <w:t xml:space="preserve">, η νόσος </w:t>
      </w:r>
      <w:proofErr w:type="spellStart"/>
      <w:r w:rsidRPr="00954807">
        <w:rPr>
          <w:szCs w:val="24"/>
        </w:rPr>
        <w:t>Krabbe</w:t>
      </w:r>
      <w:proofErr w:type="spellEnd"/>
      <w:r w:rsidRPr="00954807">
        <w:rPr>
          <w:szCs w:val="24"/>
        </w:rPr>
        <w:t xml:space="preserve">, η </w:t>
      </w:r>
      <w:proofErr w:type="spellStart"/>
      <w:r w:rsidRPr="00954807">
        <w:rPr>
          <w:szCs w:val="24"/>
        </w:rPr>
        <w:t>ορθοχρωματική</w:t>
      </w:r>
      <w:proofErr w:type="spellEnd"/>
      <w:r w:rsidRPr="00954807">
        <w:rPr>
          <w:szCs w:val="24"/>
        </w:rPr>
        <w:t xml:space="preserve"> </w:t>
      </w:r>
      <w:proofErr w:type="spellStart"/>
      <w:r w:rsidRPr="00954807">
        <w:rPr>
          <w:szCs w:val="24"/>
        </w:rPr>
        <w:t>λευκοδυστροφία</w:t>
      </w:r>
      <w:proofErr w:type="spellEnd"/>
      <w:r w:rsidRPr="00954807">
        <w:rPr>
          <w:szCs w:val="24"/>
        </w:rPr>
        <w:t xml:space="preserve">, η </w:t>
      </w:r>
      <w:proofErr w:type="spellStart"/>
      <w:r w:rsidRPr="00954807">
        <w:rPr>
          <w:szCs w:val="24"/>
        </w:rPr>
        <w:t>μεταχρωματική</w:t>
      </w:r>
      <w:proofErr w:type="spellEnd"/>
      <w:r w:rsidRPr="00954807">
        <w:rPr>
          <w:szCs w:val="24"/>
        </w:rPr>
        <w:t xml:space="preserve"> </w:t>
      </w:r>
      <w:proofErr w:type="spellStart"/>
      <w:r w:rsidRPr="00954807">
        <w:rPr>
          <w:szCs w:val="24"/>
        </w:rPr>
        <w:t>λευκοδυστροφία</w:t>
      </w:r>
      <w:proofErr w:type="spellEnd"/>
      <w:r w:rsidRPr="00954807">
        <w:rPr>
          <w:szCs w:val="24"/>
        </w:rPr>
        <w:t xml:space="preserve">, η </w:t>
      </w:r>
      <w:proofErr w:type="spellStart"/>
      <w:r w:rsidRPr="00954807">
        <w:rPr>
          <w:szCs w:val="24"/>
        </w:rPr>
        <w:t>αδρενολευκοστροφία</w:t>
      </w:r>
      <w:proofErr w:type="spellEnd"/>
      <w:r w:rsidRPr="00954807">
        <w:rPr>
          <w:szCs w:val="24"/>
        </w:rPr>
        <w:t xml:space="preserve">, η νόσος </w:t>
      </w:r>
      <w:proofErr w:type="spellStart"/>
      <w:r w:rsidRPr="00954807">
        <w:rPr>
          <w:szCs w:val="24"/>
        </w:rPr>
        <w:t>Alexande</w:t>
      </w:r>
      <w:r w:rsidRPr="007669FC">
        <w:rPr>
          <w:szCs w:val="24"/>
        </w:rPr>
        <w:t>r</w:t>
      </w:r>
      <w:proofErr w:type="spellEnd"/>
      <w:r w:rsidRPr="007669FC">
        <w:rPr>
          <w:szCs w:val="24"/>
        </w:rPr>
        <w:t xml:space="preserve"> και η σπογγώδης σκλήρυνση</w:t>
      </w:r>
      <w:r w:rsidR="00DD5088" w:rsidRPr="00DD5088">
        <w:rPr>
          <w:szCs w:val="24"/>
        </w:rPr>
        <w:t xml:space="preserve"> (</w:t>
      </w:r>
      <w:r w:rsidR="00DD5088">
        <w:rPr>
          <w:szCs w:val="24"/>
          <w:lang w:val="en-US"/>
        </w:rPr>
        <w:t>Marsden</w:t>
      </w:r>
      <w:r w:rsidR="00DD5088" w:rsidRPr="00DD5088">
        <w:rPr>
          <w:szCs w:val="24"/>
        </w:rPr>
        <w:t xml:space="preserve"> &amp; </w:t>
      </w:r>
      <w:r w:rsidR="00DD5088">
        <w:rPr>
          <w:szCs w:val="24"/>
          <w:lang w:val="en-US"/>
        </w:rPr>
        <w:t>Fowler</w:t>
      </w:r>
      <w:r w:rsidR="00DD5088" w:rsidRPr="00DD5088">
        <w:rPr>
          <w:szCs w:val="24"/>
        </w:rPr>
        <w:t>, 2001)</w:t>
      </w:r>
      <w:r w:rsidRPr="007669FC">
        <w:rPr>
          <w:szCs w:val="24"/>
        </w:rPr>
        <w:t xml:space="preserve">. </w:t>
      </w:r>
    </w:p>
    <w:p w:rsidR="00C3056B" w:rsidRPr="00D40583" w:rsidRDefault="00C3056B" w:rsidP="00C3056B">
      <w:pPr>
        <w:rPr>
          <w:szCs w:val="24"/>
        </w:rPr>
      </w:pPr>
      <w:r w:rsidRPr="007669FC">
        <w:rPr>
          <w:szCs w:val="24"/>
        </w:rPr>
        <w:t xml:space="preserve">Αναφορικά με τις </w:t>
      </w:r>
      <w:proofErr w:type="spellStart"/>
      <w:r w:rsidRPr="007669FC">
        <w:rPr>
          <w:szCs w:val="24"/>
        </w:rPr>
        <w:t>απομυελινώσεις</w:t>
      </w:r>
      <w:proofErr w:type="spellEnd"/>
      <w:r w:rsidRPr="007669FC">
        <w:rPr>
          <w:szCs w:val="24"/>
        </w:rPr>
        <w:t xml:space="preserve"> στις οποίες η εστία της φλεγμονώδους αντίδρασης είναι η κυριαρχία των λεμφοκυττάρων και των </w:t>
      </w:r>
      <w:proofErr w:type="spellStart"/>
      <w:r w:rsidRPr="007669FC">
        <w:rPr>
          <w:szCs w:val="24"/>
        </w:rPr>
        <w:t>μακροφάγων</w:t>
      </w:r>
      <w:proofErr w:type="spellEnd"/>
      <w:r w:rsidRPr="007669FC">
        <w:rPr>
          <w:szCs w:val="24"/>
        </w:rPr>
        <w:t xml:space="preserve"> που απευθείας αντιδρούν με τα αντιγόνα τα οποία τοποθετούνται στους </w:t>
      </w:r>
      <w:proofErr w:type="spellStart"/>
      <w:r w:rsidRPr="007669FC">
        <w:rPr>
          <w:szCs w:val="24"/>
        </w:rPr>
        <w:t>εμμύελους</w:t>
      </w:r>
      <w:proofErr w:type="spellEnd"/>
      <w:r w:rsidRPr="007669FC">
        <w:rPr>
          <w:szCs w:val="24"/>
        </w:rPr>
        <w:t xml:space="preserve"> ιστούς, είναι άγνωστοι οι λόγοι για τους οποίους επιτελείται η εν λόγω </w:t>
      </w:r>
      <w:proofErr w:type="spellStart"/>
      <w:r w:rsidRPr="007669FC">
        <w:rPr>
          <w:szCs w:val="24"/>
        </w:rPr>
        <w:t>ανοσιακή</w:t>
      </w:r>
      <w:proofErr w:type="spellEnd"/>
      <w:r w:rsidRPr="007669FC">
        <w:rPr>
          <w:szCs w:val="24"/>
        </w:rPr>
        <w:t xml:space="preserve"> διεργασία. Στις περιπτώσεις αυτές, υπάρχει η εικασία πως είναι φυσιολογικές πρωτεΐνες οι τιμές της </w:t>
      </w:r>
      <w:proofErr w:type="spellStart"/>
      <w:r w:rsidRPr="007669FC">
        <w:rPr>
          <w:szCs w:val="24"/>
        </w:rPr>
        <w:t>μυελίνης</w:t>
      </w:r>
      <w:proofErr w:type="spellEnd"/>
      <w:r w:rsidRPr="007669FC">
        <w:rPr>
          <w:szCs w:val="24"/>
        </w:rPr>
        <w:t xml:space="preserve">. Πιο συγκεκριμένα, οι νευρώνες σχετίζονται με την ακεραιότητα που έχει το μυελώδες έλυτρο του </w:t>
      </w:r>
      <w:proofErr w:type="spellStart"/>
      <w:r w:rsidRPr="007669FC">
        <w:rPr>
          <w:szCs w:val="24"/>
        </w:rPr>
        <w:t>νευραξόνα</w:t>
      </w:r>
      <w:proofErr w:type="spellEnd"/>
      <w:r w:rsidRPr="007669FC">
        <w:rPr>
          <w:szCs w:val="24"/>
        </w:rPr>
        <w:t xml:space="preserve"> του. Έτσι, οποιαδήποτε καταστροφή υπέστη η </w:t>
      </w:r>
      <w:proofErr w:type="spellStart"/>
      <w:r w:rsidRPr="007669FC">
        <w:rPr>
          <w:szCs w:val="24"/>
        </w:rPr>
        <w:t>μυελίνη</w:t>
      </w:r>
      <w:proofErr w:type="spellEnd"/>
      <w:r w:rsidRPr="007669FC">
        <w:rPr>
          <w:szCs w:val="24"/>
        </w:rPr>
        <w:t xml:space="preserve">, τόσες μεγαλύτερες </w:t>
      </w:r>
      <w:r w:rsidRPr="007A02B4">
        <w:rPr>
          <w:szCs w:val="24"/>
        </w:rPr>
        <w:t xml:space="preserve">δυσκολίες δημιουργούνται κατά την λειτουργία του </w:t>
      </w:r>
      <w:proofErr w:type="spellStart"/>
      <w:r w:rsidRPr="007A02B4">
        <w:rPr>
          <w:szCs w:val="24"/>
        </w:rPr>
        <w:t>νευροάξονα</w:t>
      </w:r>
      <w:proofErr w:type="spellEnd"/>
      <w:r w:rsidRPr="007A02B4">
        <w:rPr>
          <w:szCs w:val="24"/>
        </w:rPr>
        <w:t xml:space="preserve">. Έπειτα από την </w:t>
      </w:r>
      <w:proofErr w:type="spellStart"/>
      <w:r w:rsidRPr="007A02B4">
        <w:rPr>
          <w:szCs w:val="24"/>
        </w:rPr>
        <w:t>ανοσιακή</w:t>
      </w:r>
      <w:proofErr w:type="spellEnd"/>
      <w:r w:rsidRPr="007A02B4">
        <w:rPr>
          <w:szCs w:val="24"/>
        </w:rPr>
        <w:t xml:space="preserve"> αντίδραση, δύναται να υπάρξει διαδικασία διόρθωσης ως προς τις προαναφερθείσες βλάβες, γεγονός που επιφέρει από μερικές έως και πλήρεις αποκαταστάσεις στα κλινικά </w:t>
      </w:r>
      <w:r w:rsidRPr="00D40583">
        <w:rPr>
          <w:szCs w:val="24"/>
        </w:rPr>
        <w:t>συμπτώματα των ασθενών.</w:t>
      </w:r>
    </w:p>
    <w:p w:rsidR="00C3056B" w:rsidRPr="000F7213" w:rsidRDefault="00C3056B" w:rsidP="00C3056B">
      <w:pPr>
        <w:rPr>
          <w:bCs/>
          <w:szCs w:val="24"/>
        </w:rPr>
      </w:pPr>
      <w:r w:rsidRPr="00D40583">
        <w:rPr>
          <w:bCs/>
          <w:szCs w:val="24"/>
        </w:rPr>
        <w:t xml:space="preserve">Μια </w:t>
      </w:r>
      <w:proofErr w:type="spellStart"/>
      <w:r w:rsidRPr="00D40583">
        <w:rPr>
          <w:bCs/>
          <w:szCs w:val="24"/>
        </w:rPr>
        <w:t>απομυελυνωτική</w:t>
      </w:r>
      <w:proofErr w:type="spellEnd"/>
      <w:r w:rsidRPr="00D40583">
        <w:rPr>
          <w:bCs/>
          <w:szCs w:val="24"/>
        </w:rPr>
        <w:t xml:space="preserve"> πάθηση ως αίτιο-παθογένεια έχει το κέντρο βάρους της στους μηχανισμούς που ενεργοποιούνται και τις προκαλούν, εμφανίζοντας σε πολλές περιπτώσεις αρκετές ομοιότητες με άλλες παθήσεις που οι παράγοντες είναι αγγειακά προβλήματα, μεταβολικά ακόμη και τοξικά αίτια. Η Ταξινόμηση των </w:t>
      </w:r>
      <w:proofErr w:type="spellStart"/>
      <w:r w:rsidRPr="00D40583">
        <w:rPr>
          <w:bCs/>
          <w:szCs w:val="24"/>
        </w:rPr>
        <w:t>απομυελινωτικών</w:t>
      </w:r>
      <w:proofErr w:type="spellEnd"/>
      <w:r w:rsidRPr="00D40583">
        <w:rPr>
          <w:bCs/>
          <w:szCs w:val="24"/>
        </w:rPr>
        <w:t xml:space="preserve"> νοσημάτων γίνεται με βάση την αξιολόγηση των κριτηρίων, την κλινική εξέταση και με τον εντοπισμό τυχόν </w:t>
      </w:r>
      <w:r w:rsidRPr="00D40583">
        <w:rPr>
          <w:bCs/>
          <w:szCs w:val="24"/>
        </w:rPr>
        <w:lastRenderedPageBreak/>
        <w:t xml:space="preserve">βλαβών κατά τη πορεία της νόσου. Συχνά εμφανίζονται διαφορετικά και ποικίλα κλινικά συμπτώματα. Έτσι, γίνεται κατηγοριοποίηση των </w:t>
      </w:r>
      <w:proofErr w:type="spellStart"/>
      <w:r w:rsidRPr="00D40583">
        <w:rPr>
          <w:bCs/>
          <w:szCs w:val="24"/>
        </w:rPr>
        <w:t>απομυελινωτικών</w:t>
      </w:r>
      <w:proofErr w:type="spellEnd"/>
      <w:r w:rsidRPr="00D40583">
        <w:rPr>
          <w:bCs/>
          <w:szCs w:val="24"/>
        </w:rPr>
        <w:t xml:space="preserve"> νοσημάτων σε </w:t>
      </w:r>
      <w:r>
        <w:rPr>
          <w:bCs/>
          <w:szCs w:val="24"/>
        </w:rPr>
        <w:t>τρεις</w:t>
      </w:r>
      <w:r w:rsidRPr="00D40583">
        <w:rPr>
          <w:bCs/>
          <w:szCs w:val="24"/>
        </w:rPr>
        <w:t xml:space="preserve"> κατηγορίες, που είναι 1) τα πολυφασικά – </w:t>
      </w:r>
      <w:proofErr w:type="spellStart"/>
      <w:r w:rsidRPr="00D40583">
        <w:rPr>
          <w:bCs/>
          <w:szCs w:val="24"/>
        </w:rPr>
        <w:t>πολυεστια</w:t>
      </w:r>
      <w:r w:rsidRPr="000F7213">
        <w:rPr>
          <w:bCs/>
          <w:szCs w:val="24"/>
        </w:rPr>
        <w:t>κά</w:t>
      </w:r>
      <w:proofErr w:type="spellEnd"/>
      <w:r w:rsidRPr="000F7213">
        <w:rPr>
          <w:bCs/>
          <w:szCs w:val="24"/>
        </w:rPr>
        <w:t xml:space="preserve">, 2) τα </w:t>
      </w:r>
      <w:proofErr w:type="spellStart"/>
      <w:r w:rsidRPr="000F7213">
        <w:rPr>
          <w:bCs/>
          <w:szCs w:val="24"/>
        </w:rPr>
        <w:t>μοναφασικά</w:t>
      </w:r>
      <w:proofErr w:type="spellEnd"/>
      <w:r w:rsidRPr="000F7213">
        <w:rPr>
          <w:bCs/>
          <w:szCs w:val="24"/>
        </w:rPr>
        <w:t xml:space="preserve"> – </w:t>
      </w:r>
      <w:proofErr w:type="spellStart"/>
      <w:r w:rsidRPr="000F7213">
        <w:rPr>
          <w:bCs/>
          <w:szCs w:val="24"/>
        </w:rPr>
        <w:t>πολυεστιακά</w:t>
      </w:r>
      <w:proofErr w:type="spellEnd"/>
      <w:r w:rsidRPr="000F7213">
        <w:rPr>
          <w:bCs/>
          <w:szCs w:val="24"/>
        </w:rPr>
        <w:t xml:space="preserve"> και 3) τα </w:t>
      </w:r>
      <w:proofErr w:type="spellStart"/>
      <w:r w:rsidRPr="000F7213">
        <w:rPr>
          <w:bCs/>
          <w:szCs w:val="24"/>
        </w:rPr>
        <w:t>μοναφασικά</w:t>
      </w:r>
      <w:proofErr w:type="spellEnd"/>
      <w:r w:rsidRPr="000F7213">
        <w:rPr>
          <w:bCs/>
          <w:szCs w:val="24"/>
        </w:rPr>
        <w:t xml:space="preserve"> – εστιακά νοσήματα. Στις πολυφασικές – </w:t>
      </w:r>
      <w:proofErr w:type="spellStart"/>
      <w:r w:rsidRPr="000F7213">
        <w:rPr>
          <w:bCs/>
          <w:szCs w:val="24"/>
        </w:rPr>
        <w:t>πολυεστιακές</w:t>
      </w:r>
      <w:proofErr w:type="spellEnd"/>
      <w:r w:rsidRPr="000F7213">
        <w:rPr>
          <w:bCs/>
          <w:szCs w:val="24"/>
        </w:rPr>
        <w:t xml:space="preserve"> βασικότερος εκπρόσωπος είναι η σκλήρυνση κατά πλάκας καθώς επίσης και ορισμένες παραλλαγές αυτής που είναι η Νόσος </w:t>
      </w:r>
      <w:proofErr w:type="spellStart"/>
      <w:r w:rsidRPr="000F7213">
        <w:rPr>
          <w:bCs/>
          <w:szCs w:val="24"/>
        </w:rPr>
        <w:t>Devic</w:t>
      </w:r>
      <w:proofErr w:type="spellEnd"/>
      <w:r w:rsidRPr="000F7213">
        <w:rPr>
          <w:bCs/>
          <w:szCs w:val="24"/>
        </w:rPr>
        <w:t xml:space="preserve">, η Νόσος </w:t>
      </w:r>
      <w:proofErr w:type="spellStart"/>
      <w:r w:rsidRPr="000F7213">
        <w:rPr>
          <w:bCs/>
          <w:szCs w:val="24"/>
        </w:rPr>
        <w:t>Schilder</w:t>
      </w:r>
      <w:proofErr w:type="spellEnd"/>
      <w:r w:rsidRPr="000F7213">
        <w:rPr>
          <w:bCs/>
          <w:szCs w:val="24"/>
        </w:rPr>
        <w:t xml:space="preserve">, η Νόσος </w:t>
      </w:r>
      <w:proofErr w:type="spellStart"/>
      <w:r w:rsidRPr="000F7213">
        <w:rPr>
          <w:bCs/>
          <w:szCs w:val="24"/>
        </w:rPr>
        <w:t>Balo</w:t>
      </w:r>
      <w:proofErr w:type="spellEnd"/>
      <w:r w:rsidRPr="000F7213">
        <w:rPr>
          <w:bCs/>
          <w:szCs w:val="24"/>
        </w:rPr>
        <w:t xml:space="preserve"> και η Νόσος </w:t>
      </w:r>
      <w:proofErr w:type="spellStart"/>
      <w:r w:rsidRPr="000F7213">
        <w:rPr>
          <w:bCs/>
          <w:szCs w:val="24"/>
        </w:rPr>
        <w:t>Marburg</w:t>
      </w:r>
      <w:proofErr w:type="spellEnd"/>
      <w:r w:rsidRPr="000F7213">
        <w:rPr>
          <w:bCs/>
          <w:szCs w:val="24"/>
        </w:rPr>
        <w:t>.</w:t>
      </w:r>
      <w:r>
        <w:rPr>
          <w:bCs/>
          <w:szCs w:val="24"/>
        </w:rPr>
        <w:t xml:space="preserve"> </w:t>
      </w:r>
      <w:r w:rsidRPr="000F7213">
        <w:rPr>
          <w:bCs/>
          <w:szCs w:val="24"/>
        </w:rPr>
        <w:t xml:space="preserve">Στις περιπτώσεις των μονοφασικών – </w:t>
      </w:r>
      <w:proofErr w:type="spellStart"/>
      <w:r w:rsidRPr="000F7213">
        <w:rPr>
          <w:bCs/>
          <w:szCs w:val="24"/>
        </w:rPr>
        <w:t>πολυεστιακών</w:t>
      </w:r>
      <w:proofErr w:type="spellEnd"/>
      <w:r w:rsidRPr="000F7213">
        <w:rPr>
          <w:bCs/>
          <w:szCs w:val="24"/>
        </w:rPr>
        <w:t xml:space="preserve"> ανήκει η οξεία διάσπαρτη </w:t>
      </w:r>
      <w:proofErr w:type="spellStart"/>
      <w:r w:rsidRPr="000F7213">
        <w:rPr>
          <w:bCs/>
          <w:szCs w:val="24"/>
        </w:rPr>
        <w:t>εγκεφαλομυελτίτιδα</w:t>
      </w:r>
      <w:proofErr w:type="spellEnd"/>
      <w:r w:rsidRPr="000F7213">
        <w:rPr>
          <w:bCs/>
          <w:szCs w:val="24"/>
        </w:rPr>
        <w:t xml:space="preserve">. </w:t>
      </w:r>
      <w:r>
        <w:rPr>
          <w:bCs/>
          <w:szCs w:val="24"/>
        </w:rPr>
        <w:t>Τέλος, σ</w:t>
      </w:r>
      <w:r w:rsidRPr="000F7213">
        <w:rPr>
          <w:bCs/>
          <w:szCs w:val="24"/>
        </w:rPr>
        <w:t xml:space="preserve">τις περιπτώσεις των μονοφασικών – εστιακών, βασικά συμπτώματα είναι η οξεία </w:t>
      </w:r>
      <w:proofErr w:type="spellStart"/>
      <w:r w:rsidRPr="000F7213">
        <w:rPr>
          <w:bCs/>
          <w:szCs w:val="24"/>
        </w:rPr>
        <w:t>απομυελίνωση</w:t>
      </w:r>
      <w:proofErr w:type="spellEnd"/>
      <w:r w:rsidRPr="000F7213">
        <w:rPr>
          <w:bCs/>
          <w:szCs w:val="24"/>
        </w:rPr>
        <w:t xml:space="preserve"> εγκεφαλικού στελέχους, η οξεία εγκάρσια μυελίτιδα και η οξεία νευρίτιδα</w:t>
      </w:r>
      <w:r w:rsidR="00DD5088" w:rsidRPr="00DD5088">
        <w:rPr>
          <w:bCs/>
          <w:szCs w:val="24"/>
        </w:rPr>
        <w:t xml:space="preserve"> (</w:t>
      </w:r>
      <w:r w:rsidR="00DD5088">
        <w:rPr>
          <w:bCs/>
          <w:szCs w:val="24"/>
          <w:lang w:val="en-US"/>
        </w:rPr>
        <w:t>Fernandez</w:t>
      </w:r>
      <w:r w:rsidR="00DD5088" w:rsidRPr="00DD5088">
        <w:rPr>
          <w:bCs/>
          <w:szCs w:val="24"/>
        </w:rPr>
        <w:t>, 2010)</w:t>
      </w:r>
      <w:r w:rsidRPr="000F7213">
        <w:rPr>
          <w:bCs/>
          <w:szCs w:val="24"/>
        </w:rPr>
        <w:t xml:space="preserve">. </w:t>
      </w:r>
    </w:p>
    <w:p w:rsidR="00DD5088" w:rsidRPr="007669FC" w:rsidRDefault="00C3056B" w:rsidP="00DD5088">
      <w:pPr>
        <w:rPr>
          <w:szCs w:val="24"/>
        </w:rPr>
      </w:pPr>
      <w:r w:rsidRPr="000F7213">
        <w:rPr>
          <w:bCs/>
          <w:szCs w:val="24"/>
        </w:rPr>
        <w:t xml:space="preserve">Οι βλάβες παθολόγο-ανατομικού τύπου, εμφανίζονται να είναι κατά βάση ασύμμετρες σε μια </w:t>
      </w:r>
      <w:proofErr w:type="spellStart"/>
      <w:r w:rsidRPr="000F7213">
        <w:rPr>
          <w:bCs/>
          <w:szCs w:val="24"/>
        </w:rPr>
        <w:t>απομυελινωτική</w:t>
      </w:r>
      <w:proofErr w:type="spellEnd"/>
      <w:r w:rsidRPr="000F7213">
        <w:rPr>
          <w:bCs/>
          <w:szCs w:val="24"/>
        </w:rPr>
        <w:t xml:space="preserve"> πάθηση, εμφανίζοντας φλεγμονώδη στοιχεία μέτριου βαθμού, με </w:t>
      </w:r>
      <w:proofErr w:type="spellStart"/>
      <w:r w:rsidRPr="000F7213">
        <w:rPr>
          <w:bCs/>
          <w:szCs w:val="24"/>
        </w:rPr>
        <w:t>αφοριζόμενα</w:t>
      </w:r>
      <w:proofErr w:type="spellEnd"/>
      <w:r w:rsidRPr="000F7213">
        <w:rPr>
          <w:bCs/>
          <w:szCs w:val="24"/>
        </w:rPr>
        <w:t xml:space="preserve"> όρια, ενώ δεν έχουν σχέση με τους</w:t>
      </w:r>
      <w:r w:rsidRPr="004C688F">
        <w:rPr>
          <w:bCs/>
          <w:szCs w:val="24"/>
        </w:rPr>
        <w:t xml:space="preserve"> </w:t>
      </w:r>
      <w:proofErr w:type="spellStart"/>
      <w:r w:rsidRPr="004C688F">
        <w:rPr>
          <w:bCs/>
          <w:szCs w:val="24"/>
        </w:rPr>
        <w:t>νευραξόνες</w:t>
      </w:r>
      <w:proofErr w:type="spellEnd"/>
      <w:r w:rsidRPr="004C688F">
        <w:rPr>
          <w:bCs/>
          <w:szCs w:val="24"/>
        </w:rPr>
        <w:t xml:space="preserve"> εμφανίζοντας ανομοιογενή </w:t>
      </w:r>
      <w:proofErr w:type="spellStart"/>
      <w:r w:rsidRPr="004C688F">
        <w:rPr>
          <w:bCs/>
          <w:szCs w:val="24"/>
        </w:rPr>
        <w:t>γλοίωση</w:t>
      </w:r>
      <w:proofErr w:type="spellEnd"/>
      <w:r w:rsidRPr="004C688F">
        <w:rPr>
          <w:bCs/>
          <w:szCs w:val="24"/>
        </w:rPr>
        <w:t xml:space="preserve">. Στην αντίθετη περίπτωση, στις </w:t>
      </w:r>
      <w:proofErr w:type="spellStart"/>
      <w:r w:rsidRPr="004C688F">
        <w:rPr>
          <w:bCs/>
          <w:szCs w:val="24"/>
        </w:rPr>
        <w:t>δυσμυελινώσεις</w:t>
      </w:r>
      <w:proofErr w:type="spellEnd"/>
      <w:r w:rsidRPr="004C688F">
        <w:rPr>
          <w:bCs/>
          <w:szCs w:val="24"/>
        </w:rPr>
        <w:t xml:space="preserve"> οι εμφανιζόμενες βλάβες σχετίζονται κατά βάση με τους </w:t>
      </w:r>
      <w:proofErr w:type="spellStart"/>
      <w:r w:rsidRPr="004C688F">
        <w:rPr>
          <w:bCs/>
          <w:szCs w:val="24"/>
        </w:rPr>
        <w:t>νευροάξονες</w:t>
      </w:r>
      <w:proofErr w:type="spellEnd"/>
      <w:r w:rsidRPr="004C688F">
        <w:rPr>
          <w:bCs/>
          <w:szCs w:val="24"/>
        </w:rPr>
        <w:t xml:space="preserve"> και την </w:t>
      </w:r>
      <w:proofErr w:type="spellStart"/>
      <w:r w:rsidRPr="004C688F">
        <w:rPr>
          <w:bCs/>
          <w:szCs w:val="24"/>
        </w:rPr>
        <w:t>μυελίνη</w:t>
      </w:r>
      <w:proofErr w:type="spellEnd"/>
      <w:r w:rsidRPr="004C688F">
        <w:rPr>
          <w:bCs/>
          <w:szCs w:val="24"/>
        </w:rPr>
        <w:t xml:space="preserve">, παρουσιάζοντας πιο λίγα φλεγμονώδη στοιχεία, έχουν ομοιογενή </w:t>
      </w:r>
      <w:proofErr w:type="spellStart"/>
      <w:r w:rsidRPr="004C688F">
        <w:rPr>
          <w:bCs/>
          <w:szCs w:val="24"/>
        </w:rPr>
        <w:t>γλοίωση</w:t>
      </w:r>
      <w:proofErr w:type="spellEnd"/>
      <w:r w:rsidRPr="004C688F">
        <w:rPr>
          <w:bCs/>
          <w:szCs w:val="24"/>
        </w:rPr>
        <w:t xml:space="preserve"> και είναι διάχυτες</w:t>
      </w:r>
      <w:r w:rsidR="00DD5088" w:rsidRPr="00DD5088">
        <w:rPr>
          <w:bCs/>
          <w:szCs w:val="24"/>
        </w:rPr>
        <w:t xml:space="preserve"> </w:t>
      </w:r>
      <w:r w:rsidR="00DD5088" w:rsidRPr="00DD5088">
        <w:rPr>
          <w:szCs w:val="24"/>
        </w:rPr>
        <w:t>(</w:t>
      </w:r>
      <w:r w:rsidR="00DD5088">
        <w:rPr>
          <w:szCs w:val="24"/>
          <w:lang w:val="en-US"/>
        </w:rPr>
        <w:t>Marsden</w:t>
      </w:r>
      <w:r w:rsidR="00DD5088" w:rsidRPr="00DD5088">
        <w:rPr>
          <w:szCs w:val="24"/>
        </w:rPr>
        <w:t xml:space="preserve"> &amp; </w:t>
      </w:r>
      <w:r w:rsidR="00DD5088">
        <w:rPr>
          <w:szCs w:val="24"/>
          <w:lang w:val="en-US"/>
        </w:rPr>
        <w:t>Fowler</w:t>
      </w:r>
      <w:r w:rsidR="00DD5088" w:rsidRPr="00DD5088">
        <w:rPr>
          <w:szCs w:val="24"/>
        </w:rPr>
        <w:t>, 2001)</w:t>
      </w:r>
      <w:r w:rsidR="00DD5088" w:rsidRPr="007669FC">
        <w:rPr>
          <w:szCs w:val="24"/>
        </w:rPr>
        <w:t xml:space="preserve">. </w:t>
      </w:r>
    </w:p>
    <w:p w:rsidR="000D17E8" w:rsidRPr="00DD5088" w:rsidRDefault="000D17E8" w:rsidP="00C3056B">
      <w:pPr>
        <w:rPr>
          <w:rStyle w:val="a3"/>
          <w:b w:val="0"/>
          <w:szCs w:val="24"/>
        </w:rPr>
      </w:pPr>
    </w:p>
    <w:p w:rsidR="005013FA" w:rsidRPr="00240DB6" w:rsidRDefault="0091756E" w:rsidP="00A50CA8">
      <w:pPr>
        <w:pStyle w:val="1"/>
        <w:rPr>
          <w:lang w:eastAsia="el-GR"/>
        </w:rPr>
      </w:pPr>
      <w:r>
        <w:rPr>
          <w:lang w:eastAsia="el-GR"/>
        </w:rPr>
        <w:br w:type="page"/>
      </w:r>
      <w:bookmarkStart w:id="11" w:name="_Toc57241617"/>
      <w:r w:rsidR="00A50CA8" w:rsidRPr="00A50CA8">
        <w:rPr>
          <w:lang w:eastAsia="el-GR"/>
        </w:rPr>
        <w:lastRenderedPageBreak/>
        <w:t>ΚΕΦΑΛΑΙΟ 2</w:t>
      </w:r>
      <w:r w:rsidR="0079604F">
        <w:rPr>
          <w:vertAlign w:val="superscript"/>
          <w:lang w:eastAsia="el-GR"/>
        </w:rPr>
        <w:t>ο</w:t>
      </w:r>
      <w:r w:rsidR="00A50CA8" w:rsidRPr="00A50CA8">
        <w:rPr>
          <w:lang w:eastAsia="el-GR"/>
        </w:rPr>
        <w:t xml:space="preserve">: </w:t>
      </w:r>
      <w:r w:rsidR="005013FA" w:rsidRPr="00A50CA8">
        <w:rPr>
          <w:lang w:eastAsia="el-GR"/>
        </w:rPr>
        <w:t>ΣΚΛΗΡΥΝΣΗ ΚΑΤΑ ΠΛΑΚΑΣ</w:t>
      </w:r>
      <w:bookmarkEnd w:id="11"/>
    </w:p>
    <w:p w:rsidR="00C3056B" w:rsidRPr="008963C2" w:rsidRDefault="00C3056B" w:rsidP="00C3056B">
      <w:pPr>
        <w:rPr>
          <w:szCs w:val="24"/>
        </w:rPr>
      </w:pPr>
      <w:r w:rsidRPr="00645DF2">
        <w:rPr>
          <w:szCs w:val="24"/>
        </w:rPr>
        <w:t>Στην σύγχρονη εποχή, μια από τις πιο γνωστές και διαδεδομένες νευρολογικές διαταραχές είναι η σκλήρυνση κατά πλάκας μ</w:t>
      </w:r>
      <w:r w:rsidRPr="0057484E">
        <w:rPr>
          <w:szCs w:val="24"/>
        </w:rPr>
        <w:t xml:space="preserve">ε μεγαλύτερο </w:t>
      </w:r>
      <w:proofErr w:type="spellStart"/>
      <w:r w:rsidRPr="0057484E">
        <w:rPr>
          <w:szCs w:val="24"/>
        </w:rPr>
        <w:t>επιπολασμό</w:t>
      </w:r>
      <w:proofErr w:type="spellEnd"/>
      <w:r w:rsidRPr="0057484E">
        <w:rPr>
          <w:szCs w:val="24"/>
        </w:rPr>
        <w:t xml:space="preserve"> σε νεαρά άτομα. Σε αρκετές επιστημονικές έρευνες κατά βάση </w:t>
      </w:r>
      <w:r w:rsidR="00DD5088" w:rsidRPr="0057484E">
        <w:rPr>
          <w:szCs w:val="24"/>
        </w:rPr>
        <w:t>αναζητούνται</w:t>
      </w:r>
      <w:r w:rsidRPr="0057484E">
        <w:rPr>
          <w:szCs w:val="24"/>
        </w:rPr>
        <w:t xml:space="preserve"> τα αίτια που προκαλούν την ασθένεια αυτή και έως και τις ημέρες μας δεν υπάρχει μια οριστική και μοναδική θεραπεία ή τρόπος έτσι ώστε να εμποδιστεί και να μην εκδηλωθεί ποτέ</w:t>
      </w:r>
      <w:r w:rsidR="00DD5088">
        <w:rPr>
          <w:szCs w:val="24"/>
        </w:rPr>
        <w:t xml:space="preserve"> (</w:t>
      </w:r>
      <w:proofErr w:type="spellStart"/>
      <w:r w:rsidR="00DD5088">
        <w:rPr>
          <w:szCs w:val="24"/>
        </w:rPr>
        <w:t>Μητσικώστας</w:t>
      </w:r>
      <w:proofErr w:type="spellEnd"/>
      <w:r w:rsidR="00DD5088">
        <w:rPr>
          <w:szCs w:val="24"/>
        </w:rPr>
        <w:t>, 2015)</w:t>
      </w:r>
      <w:r w:rsidRPr="0057484E">
        <w:rPr>
          <w:szCs w:val="24"/>
        </w:rPr>
        <w:t>. Ωστόσο, μέσα από ποικίλες ιατρικές έρευνες που διεξάγονται ανά τον κόσμο, έχουν προκύπτει ορισμένοι προτεινόμενοι τρόποι που μπορούν να ακολουθήσουν οι ασθενείς έτσι ώστε να αντιμετωπιστούν πλειοψηφικά η ένταση των συμπτωμάτων όπως και να εμποδιστεί η γρηγορότερη επιδείνωση αυτής της ασθένειας. Επιπρόσθετα, έχει παρατηρηθεί ότι η σκλήρυνση κατά πλάκας δεν είναι απόλυτο γεγονός πως μειώνει το προσδόκιμο ζωής στους ασθενείς</w:t>
      </w:r>
      <w:r w:rsidR="0071152E">
        <w:rPr>
          <w:szCs w:val="24"/>
        </w:rPr>
        <w:t xml:space="preserve"> (</w:t>
      </w:r>
      <w:r w:rsidR="0071152E">
        <w:rPr>
          <w:szCs w:val="24"/>
          <w:lang w:val="en-US"/>
        </w:rPr>
        <w:t>Murray</w:t>
      </w:r>
      <w:r w:rsidR="0071152E" w:rsidRPr="0071152E">
        <w:rPr>
          <w:szCs w:val="24"/>
        </w:rPr>
        <w:t>, 2006)</w:t>
      </w:r>
      <w:r w:rsidRPr="008963C2">
        <w:rPr>
          <w:szCs w:val="24"/>
        </w:rPr>
        <w:t xml:space="preserve">. </w:t>
      </w:r>
    </w:p>
    <w:p w:rsidR="00C3056B" w:rsidRPr="008377D3" w:rsidRDefault="00C3056B" w:rsidP="00C3056B">
      <w:pPr>
        <w:rPr>
          <w:szCs w:val="24"/>
        </w:rPr>
      </w:pPr>
      <w:r w:rsidRPr="008963C2">
        <w:rPr>
          <w:szCs w:val="24"/>
        </w:rPr>
        <w:t>Είναι σημαντικό να τονιστεί στο σημείο αυτό, το γεγονός της μη μεταδοτικότητας αυτής της παθήσεως, κάτι που αρκετοί πολίτες αγνοούν. Σε αυτό το τόσο εξειδικευμένο ιατρικό θέμα, όπου το επιστημονικό του πεδίο σε όλο του το φάσμα ακόμα μελετάται, είναι σημαντικό να δοθεί έμφαση στις επιπλοκές που μπορεί να προκληθούν εκ της συγκεκριμένης ασθένειας που σε πολλές περιπτώσεις είναι αρκετές. Μια από τις πιο επικίνδυνες για την υγεία του ασθενή είναι η περίπτωση μόλυνσης, που δύναται να προκληθεί όταν το άτομο πάσχει από αυτή την ασθένεια για πολλά χρόνια και</w:t>
      </w:r>
      <w:r>
        <w:rPr>
          <w:szCs w:val="24"/>
        </w:rPr>
        <w:t xml:space="preserve"> μπορεί</w:t>
      </w:r>
      <w:r w:rsidRPr="008963C2">
        <w:rPr>
          <w:szCs w:val="24"/>
        </w:rPr>
        <w:t xml:space="preserve"> να τον καταστήσει αδύναμο σωματικά με αποτέλεσμα να μην μπορεί να έχει ενεργό ρόλο σε ποικίλους τομείς της </w:t>
      </w:r>
      <w:r>
        <w:rPr>
          <w:szCs w:val="24"/>
        </w:rPr>
        <w:t>καθημερινής τ</w:t>
      </w:r>
      <w:r w:rsidRPr="008963C2">
        <w:rPr>
          <w:szCs w:val="24"/>
        </w:rPr>
        <w:t>ου</w:t>
      </w:r>
      <w:r>
        <w:rPr>
          <w:szCs w:val="24"/>
        </w:rPr>
        <w:t xml:space="preserve"> ζωής</w:t>
      </w:r>
      <w:r w:rsidR="00B160F7" w:rsidRPr="00B160F7">
        <w:rPr>
          <w:szCs w:val="24"/>
        </w:rPr>
        <w:t xml:space="preserve"> (</w:t>
      </w:r>
      <w:proofErr w:type="spellStart"/>
      <w:r w:rsidR="00B160F7">
        <w:rPr>
          <w:szCs w:val="24"/>
        </w:rPr>
        <w:t>Πολυκανδριώτη</w:t>
      </w:r>
      <w:proofErr w:type="spellEnd"/>
      <w:r w:rsidR="00B160F7">
        <w:rPr>
          <w:szCs w:val="24"/>
        </w:rPr>
        <w:t xml:space="preserve"> &amp; Κυρίτση, 2006)</w:t>
      </w:r>
      <w:r w:rsidRPr="008963C2">
        <w:rPr>
          <w:szCs w:val="24"/>
        </w:rPr>
        <w:t xml:space="preserve">. </w:t>
      </w:r>
    </w:p>
    <w:p w:rsidR="00C3056B" w:rsidRPr="008377D3" w:rsidRDefault="00C3056B" w:rsidP="00C3056B">
      <w:pPr>
        <w:rPr>
          <w:szCs w:val="24"/>
        </w:rPr>
      </w:pPr>
      <w:r w:rsidRPr="008377D3">
        <w:rPr>
          <w:szCs w:val="24"/>
        </w:rPr>
        <w:t>Σε κάθε περίπτωση η έγκαιρη διάγνωση της ασθένειας, μπορεί να βοηθήσει σε μεγάλο βαθμό τον ασθενή, αφού μπορούν να ακολουθηθούν επιμέρους θεραπευτικές προσεγγίσεις που θα τον βοηθήσουν στο να ελέγχει την συμπτωματολογία</w:t>
      </w:r>
      <w:r>
        <w:rPr>
          <w:szCs w:val="24"/>
        </w:rPr>
        <w:t xml:space="preserve"> του</w:t>
      </w:r>
      <w:r w:rsidRPr="008377D3">
        <w:rPr>
          <w:szCs w:val="24"/>
        </w:rPr>
        <w:t xml:space="preserve">. Η ασθένεια αυτή, έχει ως στόχο το ΚΝΣ άρα τον εγκέφαλο και τον νωτιαίο μυελό </w:t>
      </w:r>
      <w:r w:rsidR="00BF4FD1" w:rsidRPr="008377D3">
        <w:rPr>
          <w:szCs w:val="24"/>
        </w:rPr>
        <w:t>δυσχεραίνοντας</w:t>
      </w:r>
      <w:r w:rsidRPr="008377D3">
        <w:rPr>
          <w:szCs w:val="24"/>
        </w:rPr>
        <w:t xml:space="preserve"> την λειτουργία ορισμένων οργάνων που εξαρτώνται λειτουργικά από τα παραπάνω. Έτσι, οι σοβαρές επιπτώσεις της ασθένειας που γίνονται εις βάρος της υγείας του ασθενή μέσα από έγκαιρη διάγνωση μπορούν να ελαφρυνθούν. Για να συμβεί αυτό χρειάζονται ορισμένες εξειδικευμένες εξετάσεις και καταγραφή και παρακολούθηση του ιστορικού. Είναι κομβικής σημασίας η ορθή συνεχής παρακολούθηση του ασθενή και της συμπτωματολογίας του</w:t>
      </w:r>
      <w:r w:rsidR="00BF4FD1">
        <w:rPr>
          <w:szCs w:val="24"/>
        </w:rPr>
        <w:t xml:space="preserve"> (</w:t>
      </w:r>
      <w:proofErr w:type="spellStart"/>
      <w:r w:rsidR="00BF4FD1">
        <w:rPr>
          <w:szCs w:val="24"/>
        </w:rPr>
        <w:t>Τσούγγου</w:t>
      </w:r>
      <w:proofErr w:type="spellEnd"/>
      <w:r w:rsidR="00BF4FD1">
        <w:rPr>
          <w:szCs w:val="24"/>
        </w:rPr>
        <w:t xml:space="preserve"> κ. συν., 2016)</w:t>
      </w:r>
      <w:r w:rsidRPr="008377D3">
        <w:rPr>
          <w:szCs w:val="24"/>
        </w:rPr>
        <w:t>.</w:t>
      </w:r>
    </w:p>
    <w:p w:rsidR="00C3056B" w:rsidRPr="00C3056B" w:rsidRDefault="00C3056B" w:rsidP="00C3056B">
      <w:pPr>
        <w:rPr>
          <w:lang w:eastAsia="el-GR"/>
        </w:rPr>
      </w:pPr>
    </w:p>
    <w:p w:rsidR="00DF7278" w:rsidRPr="00240DB6" w:rsidRDefault="00A50CA8" w:rsidP="00A50CA8">
      <w:pPr>
        <w:pStyle w:val="2"/>
        <w:rPr>
          <w:lang w:eastAsia="el-GR"/>
        </w:rPr>
      </w:pPr>
      <w:bookmarkStart w:id="12" w:name="_Toc57241618"/>
      <w:r w:rsidRPr="00A50CA8">
        <w:rPr>
          <w:lang w:eastAsia="el-GR"/>
        </w:rPr>
        <w:lastRenderedPageBreak/>
        <w:t xml:space="preserve">2.1 </w:t>
      </w:r>
      <w:r w:rsidR="00A358AA" w:rsidRPr="00A50CA8">
        <w:rPr>
          <w:lang w:eastAsia="el-GR"/>
        </w:rPr>
        <w:t>Αιτίες και παθογένεια</w:t>
      </w:r>
      <w:bookmarkEnd w:id="12"/>
      <w:r w:rsidR="00B967D3" w:rsidRPr="00A50CA8">
        <w:rPr>
          <w:lang w:eastAsia="el-GR"/>
        </w:rPr>
        <w:t xml:space="preserve"> </w:t>
      </w:r>
    </w:p>
    <w:p w:rsidR="00841D05" w:rsidRPr="004841F1" w:rsidRDefault="00841D05" w:rsidP="00841D05">
      <w:pPr>
        <w:rPr>
          <w:szCs w:val="24"/>
        </w:rPr>
      </w:pPr>
      <w:r w:rsidRPr="00F27F69">
        <w:rPr>
          <w:szCs w:val="24"/>
        </w:rPr>
        <w:t xml:space="preserve">Από την εποχή του </w:t>
      </w:r>
      <w:proofErr w:type="spellStart"/>
      <w:r w:rsidRPr="00F27F69">
        <w:rPr>
          <w:szCs w:val="24"/>
        </w:rPr>
        <w:t>Jean</w:t>
      </w:r>
      <w:proofErr w:type="spellEnd"/>
      <w:r w:rsidRPr="00F27F69">
        <w:rPr>
          <w:szCs w:val="24"/>
        </w:rPr>
        <w:t xml:space="preserve">-Martin </w:t>
      </w:r>
      <w:proofErr w:type="spellStart"/>
      <w:r w:rsidRPr="00F27F69">
        <w:rPr>
          <w:szCs w:val="24"/>
        </w:rPr>
        <w:t>Charcot</w:t>
      </w:r>
      <w:proofErr w:type="spellEnd"/>
      <w:r w:rsidRPr="00F27F69">
        <w:rPr>
          <w:szCs w:val="24"/>
        </w:rPr>
        <w:t xml:space="preserve">, ο οποίος ασχολήθηκε ιδιαίτερα με τις νευρολογικές ασθένειες έως και την σύγχρονη εποχή, η σκλήρυνση κατά πλάκας είναι μια ασθένεια που απασχολεί σε τεράστιο βαθμό τον τομέα της Νευρολογίας. Υπάρχουν ελάχιστες επίσημες απαντήσεις από την επιστημονική κοινότητα αναφορικά με τα αίτια της προσβολής </w:t>
      </w:r>
      <w:r w:rsidRPr="004841F1">
        <w:rPr>
          <w:szCs w:val="24"/>
        </w:rPr>
        <w:t>από την νόσο αυτή, παρά την έκταση των ερευνών (</w:t>
      </w:r>
      <w:proofErr w:type="spellStart"/>
      <w:r w:rsidRPr="004841F1">
        <w:rPr>
          <w:szCs w:val="24"/>
        </w:rPr>
        <w:t>Γεωργάρας</w:t>
      </w:r>
      <w:proofErr w:type="spellEnd"/>
      <w:r w:rsidR="009D39AD" w:rsidRPr="004841F1">
        <w:rPr>
          <w:szCs w:val="24"/>
        </w:rPr>
        <w:t xml:space="preserve"> &amp;</w:t>
      </w:r>
      <w:r w:rsidRPr="004841F1">
        <w:rPr>
          <w:szCs w:val="24"/>
        </w:rPr>
        <w:t xml:space="preserve"> Μαλτέζου, 2003). </w:t>
      </w:r>
    </w:p>
    <w:p w:rsidR="00841D05" w:rsidRPr="00901AFD" w:rsidRDefault="00841D05" w:rsidP="00841D05">
      <w:pPr>
        <w:rPr>
          <w:szCs w:val="24"/>
        </w:rPr>
      </w:pPr>
      <w:r w:rsidRPr="00BA1F69">
        <w:rPr>
          <w:szCs w:val="24"/>
        </w:rPr>
        <w:t xml:space="preserve">Δεν είναι λοιπόν εφικτές οι ξεκάθαρες απαντήσεις αναφορικά με την ακριβή αιτία της εμφάνισης της νόσου και οι ερευνητές μέσα από ελάχιστες μελέτες αποκαλύπτουν πως η ασθένεια συχνά εμφανίζεται έπειτα από έκθεση του ατόμου σε έναν ιό δηλαδή σε έναν μεταδοτικό μικροοργανισμό ο οποίος προσβάλλει τα κύτταρα που είναι εν ζωή. Είναι δυνατό με λανθάνων τρόπο ο ιός να μείνει για ορισμένο χρονικό διάστημα και αυτό εξαιτίας κάποιων συγκεκριμένων περιβαλλοντικών παραγόντων, ωστόσο όταν γίνει για δεύτερη φορά έκθεση του ατόμου με τον ιό τότε είναι που εμφανίζεται η ασθένεια αυτή. Σε άλλες μελέτες, προκύπτει πως ουσιαστικά οι άνθρωποι που προσβάλλονται από την ασθένεια αυτή, έχουν ήδη αδύναμο ανοσοποιητικό σύστημα και με αυτόν τον τρόπο γίνονται περισσότερο </w:t>
      </w:r>
      <w:r w:rsidRPr="00901AFD">
        <w:rPr>
          <w:szCs w:val="24"/>
        </w:rPr>
        <w:t>επιρρεπείς ως προς την ασθένεια που έρχεται έπειτα λόγω της έκθεσης στον ιό</w:t>
      </w:r>
      <w:r w:rsidR="00D87F01">
        <w:rPr>
          <w:szCs w:val="24"/>
        </w:rPr>
        <w:t xml:space="preserve"> (</w:t>
      </w:r>
      <w:proofErr w:type="spellStart"/>
      <w:r w:rsidRPr="00901AFD">
        <w:rPr>
          <w:szCs w:val="24"/>
        </w:rPr>
        <w:t>Iraj</w:t>
      </w:r>
      <w:proofErr w:type="spellEnd"/>
      <w:r w:rsidRPr="00901AFD">
        <w:rPr>
          <w:szCs w:val="24"/>
        </w:rPr>
        <w:t xml:space="preserve"> </w:t>
      </w:r>
      <w:r w:rsidR="00901AFD" w:rsidRPr="00901AFD">
        <w:rPr>
          <w:szCs w:val="24"/>
          <w:lang w:val="en-US"/>
        </w:rPr>
        <w:t>Jeffrey</w:t>
      </w:r>
      <w:r w:rsidR="00901AFD" w:rsidRPr="00901AFD">
        <w:rPr>
          <w:szCs w:val="24"/>
        </w:rPr>
        <w:t xml:space="preserve"> &amp; </w:t>
      </w:r>
      <w:r w:rsidR="00901AFD" w:rsidRPr="00901AFD">
        <w:rPr>
          <w:szCs w:val="24"/>
          <w:lang w:val="en-US"/>
        </w:rPr>
        <w:t>Zacharys</w:t>
      </w:r>
      <w:r w:rsidR="00901AFD" w:rsidRPr="00901AFD">
        <w:rPr>
          <w:szCs w:val="24"/>
        </w:rPr>
        <w:t>,</w:t>
      </w:r>
      <w:r w:rsidRPr="00901AFD">
        <w:rPr>
          <w:szCs w:val="24"/>
        </w:rPr>
        <w:t xml:space="preserve"> 1995). </w:t>
      </w:r>
    </w:p>
    <w:p w:rsidR="00841D05" w:rsidRPr="00204FD5" w:rsidRDefault="00841D05" w:rsidP="00841D05">
      <w:pPr>
        <w:rPr>
          <w:szCs w:val="24"/>
        </w:rPr>
      </w:pPr>
      <w:r w:rsidRPr="00BA1F69">
        <w:rPr>
          <w:szCs w:val="24"/>
        </w:rPr>
        <w:t xml:space="preserve">Στην ημέρες μας, υπάρχει η πεποίθηση από την πλευρά των επιστημόνων πως η ασθένεια της σκλήρυνσης κατά πλάκας, έχει τις βάσεις της σε συνδυαστικούς παράγοντες όπως π.χ. φυλή, ηλικία, κλίμα και γεωγραφική θέση, κοινωνικοοικονομική κατάσταση, στη σύγχρονη βιομηχανοποίηση, στην λήψη </w:t>
      </w:r>
      <w:proofErr w:type="spellStart"/>
      <w:r w:rsidRPr="00BA1F69">
        <w:rPr>
          <w:szCs w:val="24"/>
        </w:rPr>
        <w:t>λινολεϊκού</w:t>
      </w:r>
      <w:proofErr w:type="spellEnd"/>
      <w:r w:rsidRPr="00BA1F69">
        <w:rPr>
          <w:szCs w:val="24"/>
        </w:rPr>
        <w:t xml:space="preserve"> οξέος δηλαδή τροφικός παράγοντας κ.ά.</w:t>
      </w:r>
      <w:r>
        <w:rPr>
          <w:color w:val="0000FF"/>
          <w:szCs w:val="24"/>
        </w:rPr>
        <w:t xml:space="preserve">. </w:t>
      </w:r>
      <w:r w:rsidRPr="00BA1F69">
        <w:rPr>
          <w:szCs w:val="24"/>
        </w:rPr>
        <w:t xml:space="preserve">Επιπρόσθετα, κάποιοι άλλοι παράγοντες δύναται να είναι οι γενετικοί π.χ. κληρονομική προδιάθεση ή κάποιος ιός. Ωστόσο, είναι δυνατό να μην γίνεται μεταβίβαση της ασθένειας από γενιά σε γενιά, παρόλο που υπάρχουν ορισμένοι άνθρωποι οι οποίοι λόγω </w:t>
      </w:r>
      <w:r w:rsidRPr="00BA1F69">
        <w:rPr>
          <w:szCs w:val="24"/>
          <w:lang w:val="en-US"/>
        </w:rPr>
        <w:t>DNA</w:t>
      </w:r>
      <w:r w:rsidRPr="00BA1F69">
        <w:rPr>
          <w:szCs w:val="24"/>
        </w:rPr>
        <w:t xml:space="preserve"> εμφανίζουν αυτήν την γενετική προδιάθεση. Διάφορες μελέτες κυρίως σε αδέρφια που είναι δίδυμα, έρχονται να ενισχύσουν αυτού του είδους την υπόθεση </w:t>
      </w:r>
      <w:r w:rsidRPr="004E355E">
        <w:rPr>
          <w:color w:val="0000FF"/>
          <w:szCs w:val="24"/>
        </w:rPr>
        <w:t>(</w:t>
      </w:r>
      <w:r w:rsidR="00D87F01" w:rsidRPr="00D87F01">
        <w:rPr>
          <w:lang w:val="en-US"/>
        </w:rPr>
        <w:t>Hemmer</w:t>
      </w:r>
      <w:r w:rsidR="00D87F01" w:rsidRPr="00D87F01">
        <w:t xml:space="preserve">, </w:t>
      </w:r>
      <w:r w:rsidR="00D87F01" w:rsidRPr="00D87F01">
        <w:rPr>
          <w:lang w:val="en-US"/>
        </w:rPr>
        <w:t>Cepok</w:t>
      </w:r>
      <w:r w:rsidR="00D87F01" w:rsidRPr="00D87F01">
        <w:t xml:space="preserve">, </w:t>
      </w:r>
      <w:r w:rsidR="00D87F01" w:rsidRPr="00D87F01">
        <w:rPr>
          <w:lang w:val="en-US"/>
        </w:rPr>
        <w:t>Nessler</w:t>
      </w:r>
      <w:r w:rsidR="00D87F01" w:rsidRPr="00D87F01">
        <w:t xml:space="preserve">, &amp; </w:t>
      </w:r>
      <w:r w:rsidR="00D87F01" w:rsidRPr="00D87F01">
        <w:rPr>
          <w:lang w:val="en-US"/>
        </w:rPr>
        <w:t>Sommer</w:t>
      </w:r>
      <w:r w:rsidR="00D87F01" w:rsidRPr="00D87F01">
        <w:t>, 2002).</w:t>
      </w:r>
    </w:p>
    <w:p w:rsidR="00841D05" w:rsidRPr="007B5987" w:rsidRDefault="00841D05" w:rsidP="00841D05">
      <w:pPr>
        <w:rPr>
          <w:szCs w:val="24"/>
        </w:rPr>
      </w:pPr>
      <w:r w:rsidRPr="007B5987">
        <w:rPr>
          <w:szCs w:val="24"/>
        </w:rPr>
        <w:t xml:space="preserve">Έτσι, μέσα από τον συνδυασμό ποικίλων παραγόντων δύναται ανά άτομο να οριστούν ορισμένα αίτια ως προς την εκδήλωση της ασθένειας της σκλήρυνσης κατά πλάκα. Οι έρευνες δεν συγκεντρώνονται σε έναν επιστημονικό τομέα, αλλά αντιθέτως την ασθένεια μελετάει και το πεδίο της επιδημιολογίας, της ανοσολογίας αλλά και της γενετικής. Όταν προκύψουν εμπεριστατωμένα συμπεράσματα σχετικά με τα αίτια της ασθένειας, τότε θα είναι δυνατή και η αντιμετώπισή της με εστιασμένη θεραπεία όπως και η κατανόηση της πορείας του νοσήματος και η ορθή θεραπευτική αντιμετώπισή των συμπτωμάτων και της ίδιας. </w:t>
      </w:r>
    </w:p>
    <w:p w:rsidR="00841D05" w:rsidRPr="00F71F1E" w:rsidRDefault="00841D05" w:rsidP="00841D05">
      <w:pPr>
        <w:rPr>
          <w:rFonts w:eastAsia="Times New Roman"/>
          <w:b/>
          <w:szCs w:val="24"/>
          <w:lang w:eastAsia="el-GR"/>
        </w:rPr>
      </w:pPr>
      <w:r w:rsidRPr="007B5987">
        <w:rPr>
          <w:szCs w:val="24"/>
        </w:rPr>
        <w:lastRenderedPageBreak/>
        <w:t xml:space="preserve">Ως νόσος εμφανίζεται στον κάθε ασθενή με διαφορετική συμπτωματολογία. Υπάρχουν συμπτώματα τα οποία μπορεί να βιώσει ένας ασθενής για μικρό χρονικό διάστημα και κατά τα άλλα να μένει υγιής τον υπόλοιπο χρόνο, ενώ σε άλλες περιπτώσεις δύναται να υπάρχει μια επιδείνωση με σταθερό μοτίβο λόγω της ασθένειας στο άτομο. Αρκετοί ερευνητές κατατάσσουν την ασθένεια αυτή στα </w:t>
      </w:r>
      <w:proofErr w:type="spellStart"/>
      <w:r w:rsidRPr="007B5987">
        <w:rPr>
          <w:szCs w:val="24"/>
        </w:rPr>
        <w:t>αυτοάνοσα</w:t>
      </w:r>
      <w:proofErr w:type="spellEnd"/>
      <w:r w:rsidRPr="007B5987">
        <w:rPr>
          <w:szCs w:val="24"/>
        </w:rPr>
        <w:t xml:space="preserve"> νοσήματα, λόγω των λευκών αιμοσφαιρίων που ενώ είναι προγραμματισμένα για να αντιμετωπίζουν ασθένειες και μολύνσεις, σε αυτήν την περίπτωση λανθασμένα οδηγούνται στο να επιτεθούν στα κύτταρα του ίδιου του οργανισμού. Έτσι λοιπόν, δημιουργούνται στο Κεντρικό Νευρικό Σύστημα φλεγμονές που είναι γνωστές αλλιώς και ως «ενεργές βλάβε</w:t>
      </w:r>
      <w:r w:rsidRPr="00F71F1E">
        <w:rPr>
          <w:szCs w:val="24"/>
        </w:rPr>
        <w:t>ς». Πιο συγκεκριμένα, περιοχές που έχουν πυκνό ιστό και ονομάζονται «πλάκες», εμφανίζονται στον τραυματισμένο μυελό κατά μήκος του. Λόγω των αλλαγών από άτομο σε άτομο αναφορικά με την περιοχή που βρίσκονται αυτές, το μέγεθος όπως και τον αριθμό των βλαβών διαφαίνονται διαφορετικού βαθμού και εντάσεως οι επιπτώσεις όπως και διαφέρει και ο τύπος των συμπτωμάτων που εμφανίζει ο ασθενής στο σώμα του</w:t>
      </w:r>
      <w:r w:rsidR="00BB6CE2">
        <w:rPr>
          <w:szCs w:val="24"/>
        </w:rPr>
        <w:t xml:space="preserve"> (</w:t>
      </w:r>
      <w:r w:rsidR="00BB6CE2">
        <w:rPr>
          <w:szCs w:val="24"/>
          <w:lang w:val="en-US"/>
        </w:rPr>
        <w:t>Tafti</w:t>
      </w:r>
      <w:r w:rsidR="00BB6CE2" w:rsidRPr="000001B4">
        <w:rPr>
          <w:szCs w:val="24"/>
        </w:rPr>
        <w:t xml:space="preserve">, </w:t>
      </w:r>
      <w:r w:rsidR="00BB6CE2">
        <w:rPr>
          <w:szCs w:val="24"/>
          <w:lang w:val="en-US"/>
        </w:rPr>
        <w:t>Ehsan</w:t>
      </w:r>
      <w:r w:rsidR="00BB6CE2" w:rsidRPr="000001B4">
        <w:rPr>
          <w:szCs w:val="24"/>
        </w:rPr>
        <w:t xml:space="preserve"> &amp; </w:t>
      </w:r>
      <w:r w:rsidR="00BB6CE2">
        <w:rPr>
          <w:szCs w:val="24"/>
          <w:lang w:val="en-US"/>
        </w:rPr>
        <w:t>Xixis</w:t>
      </w:r>
      <w:r w:rsidR="00BB6CE2" w:rsidRPr="000001B4">
        <w:rPr>
          <w:szCs w:val="24"/>
        </w:rPr>
        <w:t>, 2020).</w:t>
      </w:r>
      <w:r w:rsidRPr="00F71F1E">
        <w:rPr>
          <w:szCs w:val="24"/>
        </w:rPr>
        <w:t>.</w:t>
      </w:r>
    </w:p>
    <w:p w:rsidR="00841D05" w:rsidRPr="00841D05" w:rsidRDefault="00841D05" w:rsidP="00841D05">
      <w:pPr>
        <w:rPr>
          <w:lang w:eastAsia="el-GR"/>
        </w:rPr>
      </w:pPr>
    </w:p>
    <w:p w:rsidR="00DF7278" w:rsidRPr="00240DB6" w:rsidRDefault="00A50CA8" w:rsidP="00A50CA8">
      <w:pPr>
        <w:pStyle w:val="3"/>
      </w:pPr>
      <w:bookmarkStart w:id="13" w:name="_Toc57241619"/>
      <w:r w:rsidRPr="00EE7CC5">
        <w:rPr>
          <w:lang w:eastAsia="el-GR"/>
        </w:rPr>
        <w:t xml:space="preserve">2.1.1 </w:t>
      </w:r>
      <w:r w:rsidR="00DF7278" w:rsidRPr="00EE7CC5">
        <w:t>Ανοσολογικοί Παράγοντες</w:t>
      </w:r>
      <w:bookmarkEnd w:id="13"/>
      <w:r w:rsidR="00DF7278" w:rsidRPr="00A50CA8">
        <w:t xml:space="preserve"> </w:t>
      </w:r>
    </w:p>
    <w:p w:rsidR="00DC19FA" w:rsidRPr="00E87555" w:rsidRDefault="00DC19FA" w:rsidP="00DC19FA">
      <w:pPr>
        <w:rPr>
          <w:rFonts w:eastAsia="Times New Roman"/>
          <w:b/>
          <w:szCs w:val="24"/>
          <w:lang w:eastAsia="el-GR"/>
        </w:rPr>
      </w:pPr>
      <w:r w:rsidRPr="00E87555">
        <w:rPr>
          <w:szCs w:val="24"/>
        </w:rPr>
        <w:t>Όπως αναφέρθηκε νωρίτερα, στην σκλήρυνση κατά πλάκας, γίνεται επίθεση στον μυελό από μία ανοσοποιητική απόκριση η οποία είναι διαταραγμένη. Έτσι, διαταράσσεται η προστασία των νευρικών ινών του ΚΝΣ. Ερευνητές εντόπισαν ποια είναι τα κύτταρα αυτά τα οποία ευθύνονται ως προς τις επιθέσεις, τους παράγοντες εκείνους οι οποίοι τα καθοδηγούν στο να κάνουν την επίθεση όπως και το γεγονός ότι υπάρχουν μεταξύ των επιτιθέμενων κυττάρων ορισμένοι υποδοχείς που προσελκύονται εκ του μυελού, ξεκινώντας έτσι και η διαδικασία που οδηγούν στην καταστροφή τους. Αρκετές έρευνες εξακολουθούν να είναι σε εξέλιξη, αναζητώντας τον τρόπο λειτουργίας της ασθένειας, καθώς επίσης και τον τρόπο με τον οποίο δύναται να σταματήσει η δράση της σε περίπτωση που υπάρχει ήδη. Αυτό θα συμβεί όταν επιτευχθεί η πλήρης γνώση αναφορικά με την ασθένεια αυτή</w:t>
      </w:r>
      <w:r w:rsidR="00500CB3" w:rsidRPr="00500CB3">
        <w:rPr>
          <w:szCs w:val="24"/>
        </w:rPr>
        <w:t xml:space="preserve"> (</w:t>
      </w:r>
      <w:r w:rsidR="00500CB3" w:rsidRPr="00500CB3">
        <w:rPr>
          <w:lang w:val="en-US"/>
        </w:rPr>
        <w:t>Bahrun</w:t>
      </w:r>
      <w:r w:rsidR="00500CB3" w:rsidRPr="00500CB3">
        <w:t xml:space="preserve">, &amp; </w:t>
      </w:r>
      <w:r w:rsidR="00500CB3" w:rsidRPr="00500CB3">
        <w:rPr>
          <w:lang w:val="en-US"/>
        </w:rPr>
        <w:t>Wijaya</w:t>
      </w:r>
      <w:r w:rsidR="00500CB3" w:rsidRPr="00500CB3">
        <w:t>, 2018)</w:t>
      </w:r>
      <w:r w:rsidRPr="00E87555">
        <w:rPr>
          <w:szCs w:val="24"/>
        </w:rPr>
        <w:t xml:space="preserve">. </w:t>
      </w:r>
    </w:p>
    <w:p w:rsidR="00DC19FA" w:rsidRPr="00DC19FA" w:rsidRDefault="00DC19FA" w:rsidP="00DC19FA"/>
    <w:p w:rsidR="00DF7278" w:rsidRPr="00240DB6" w:rsidRDefault="00A50CA8" w:rsidP="00A50CA8">
      <w:pPr>
        <w:pStyle w:val="3"/>
      </w:pPr>
      <w:bookmarkStart w:id="14" w:name="_Toc57241620"/>
      <w:r w:rsidRPr="00EE7CC5">
        <w:t xml:space="preserve">2.1.2 </w:t>
      </w:r>
      <w:r w:rsidR="00DF7278" w:rsidRPr="00EE7CC5">
        <w:t>Περιβαλλοντολογικοί Παράγοντες</w:t>
      </w:r>
      <w:bookmarkEnd w:id="14"/>
    </w:p>
    <w:p w:rsidR="00DC19FA" w:rsidRPr="00C80C4B" w:rsidRDefault="00DC19FA" w:rsidP="00DC19FA">
      <w:pPr>
        <w:rPr>
          <w:szCs w:val="24"/>
        </w:rPr>
      </w:pPr>
      <w:r w:rsidRPr="00E87555">
        <w:rPr>
          <w:szCs w:val="24"/>
        </w:rPr>
        <w:t>Όπως είναι διαδεδομένο, η σκλήρυνση κατά πλάκας, τείνει να εμφανίζεται γεωγραφικά σε πληθυσμό που είναι μακριά από την ζώνη του ισημερινού. Οι επιδημιολόγοι, ασχολούνται και μελετούν τα μοτίβα των ασθενειών, δίνοντας έμφαση στην διαφοροποίηση των ασθενών ανάλογα με την δημογρ</w:t>
      </w:r>
      <w:r w:rsidRPr="00C80C4B">
        <w:rPr>
          <w:szCs w:val="24"/>
        </w:rPr>
        <w:t xml:space="preserve">αφία, την γεωγραφία, τις μεταναστευτικές ροές και την γενετική, </w:t>
      </w:r>
      <w:r w:rsidRPr="00C80C4B">
        <w:rPr>
          <w:szCs w:val="24"/>
        </w:rPr>
        <w:lastRenderedPageBreak/>
        <w:t xml:space="preserve">προσπαθώντας να εντοπίσουν τους τρόπους της επιρροής του περιβάλλοντος ως προς την νόσο. Έρευνες αποκάλυψαν πως άνθρωποι που γεννήθηκαν σε περιοχές όπου είναι υψηλός ο κίνδυνος της εμφάνισης της σκλήρυνσης κατά πλάκας, αν μεταναστεύσουν πριν από τα 16 τους χρόνια σε χώρες που είναι χαμηλότερου κινδύνου εμφάνισης της ασθένειας, έχουν λιγότερες πιθανότητες να διαγνωστούν με σκλήρυνση. Επιπλέον, είναι σημαντικό να αναφερθεί πως όταν υπάρχει έλλειψη βιταμίνης D, τότε είναι πιο εφικτή η εμφάνιση της ασθένειας. Αντίστοιχα, όπως προκύπτει από στοιχεία ερευνών, οι άνθρωποι που ζουν πιο κοντά στην ζώνη του ισημερινού, εμφανίζουν σπανιότερα την ασθένεια και σε μικρότερο ποσοστό, λόγω του ότι η ακτινοβολία του ηλίου σε εκείνες τις περιοχές είναι πιο έντονη και δεν υπάρχει έλλειψη βιταμίνης </w:t>
      </w:r>
      <w:r w:rsidRPr="00C80C4B">
        <w:rPr>
          <w:szCs w:val="24"/>
          <w:lang w:val="en-US"/>
        </w:rPr>
        <w:t>D</w:t>
      </w:r>
      <w:r w:rsidRPr="00C80C4B">
        <w:rPr>
          <w:szCs w:val="24"/>
        </w:rPr>
        <w:t xml:space="preserve">, αφού η ηλιακή ακτινοβολία είναι ο καθοριστικός παράγοντας στην παραγωγή της. Η βιταμίνη αυτή, βοηθάει και υποστηρίζει το ανοσοποιητικό σύστημα και προστατεύει τον οργανισμό στα νοσήματα </w:t>
      </w:r>
      <w:proofErr w:type="spellStart"/>
      <w:r w:rsidRPr="00C80C4B">
        <w:rPr>
          <w:szCs w:val="24"/>
        </w:rPr>
        <w:t>αυτοάνοσου</w:t>
      </w:r>
      <w:proofErr w:type="spellEnd"/>
      <w:r w:rsidRPr="00C80C4B">
        <w:rPr>
          <w:szCs w:val="24"/>
        </w:rPr>
        <w:t xml:space="preserve"> τύπου</w:t>
      </w:r>
      <w:r w:rsidR="00EE7CC5">
        <w:rPr>
          <w:szCs w:val="24"/>
        </w:rPr>
        <w:t xml:space="preserve"> </w:t>
      </w:r>
      <w:r w:rsidR="00EE7CC5" w:rsidRPr="00EE7CC5">
        <w:rPr>
          <w:szCs w:val="24"/>
        </w:rPr>
        <w:t>(</w:t>
      </w:r>
      <w:r w:rsidR="00EE7CC5" w:rsidRPr="006119DC">
        <w:rPr>
          <w:lang w:val="en-US" w:eastAsia="el-GR"/>
        </w:rPr>
        <w:t>Orton</w:t>
      </w:r>
      <w:r w:rsidR="00EE7CC5" w:rsidRPr="00EE7CC5">
        <w:rPr>
          <w:lang w:eastAsia="el-GR"/>
        </w:rPr>
        <w:t xml:space="preserve">, </w:t>
      </w:r>
      <w:r w:rsidR="00EE7CC5" w:rsidRPr="006119DC">
        <w:rPr>
          <w:lang w:val="en-US" w:eastAsia="el-GR"/>
        </w:rPr>
        <w:t>Wald</w:t>
      </w:r>
      <w:r w:rsidR="00EE7CC5" w:rsidRPr="00EE7CC5">
        <w:rPr>
          <w:lang w:eastAsia="el-GR"/>
        </w:rPr>
        <w:t xml:space="preserve">, </w:t>
      </w:r>
      <w:r w:rsidR="00EE7CC5" w:rsidRPr="006119DC">
        <w:rPr>
          <w:lang w:val="en-US" w:eastAsia="el-GR"/>
        </w:rPr>
        <w:t>Confavreux</w:t>
      </w:r>
      <w:r w:rsidR="00EE7CC5" w:rsidRPr="00EE7CC5">
        <w:rPr>
          <w:lang w:eastAsia="el-GR"/>
        </w:rPr>
        <w:t xml:space="preserve">, </w:t>
      </w:r>
      <w:r w:rsidR="00EE7CC5" w:rsidRPr="006119DC">
        <w:rPr>
          <w:lang w:val="en-US" w:eastAsia="el-GR"/>
        </w:rPr>
        <w:t>Vukusic</w:t>
      </w:r>
      <w:r w:rsidR="00EE7CC5" w:rsidRPr="00EE7CC5">
        <w:rPr>
          <w:lang w:eastAsia="el-GR"/>
        </w:rPr>
        <w:t xml:space="preserve">, </w:t>
      </w:r>
      <w:r w:rsidR="00EE7CC5" w:rsidRPr="006119DC">
        <w:rPr>
          <w:lang w:val="en-US" w:eastAsia="el-GR"/>
        </w:rPr>
        <w:t>Krohn</w:t>
      </w:r>
      <w:r w:rsidR="00EE7CC5" w:rsidRPr="00EE7CC5">
        <w:rPr>
          <w:lang w:eastAsia="el-GR"/>
        </w:rPr>
        <w:t xml:space="preserve">, </w:t>
      </w:r>
      <w:r w:rsidR="00EE7CC5" w:rsidRPr="006119DC">
        <w:rPr>
          <w:lang w:val="en-US" w:eastAsia="el-GR"/>
        </w:rPr>
        <w:t>Ramagopalan</w:t>
      </w:r>
      <w:r w:rsidR="00EE7CC5" w:rsidRPr="00EE7CC5">
        <w:rPr>
          <w:lang w:eastAsia="el-GR"/>
        </w:rPr>
        <w:t xml:space="preserve">, </w:t>
      </w:r>
      <w:r w:rsidR="00EE7CC5" w:rsidRPr="006119DC">
        <w:rPr>
          <w:lang w:val="en-US" w:eastAsia="el-GR"/>
        </w:rPr>
        <w:t>et</w:t>
      </w:r>
      <w:r w:rsidR="00EE7CC5" w:rsidRPr="00EE7CC5">
        <w:rPr>
          <w:lang w:eastAsia="el-GR"/>
        </w:rPr>
        <w:t xml:space="preserve"> </w:t>
      </w:r>
      <w:r w:rsidR="00EE7CC5" w:rsidRPr="006119DC">
        <w:rPr>
          <w:lang w:val="en-US" w:eastAsia="el-GR"/>
        </w:rPr>
        <w:t>al</w:t>
      </w:r>
      <w:r w:rsidR="00EE7CC5" w:rsidRPr="00EE7CC5">
        <w:rPr>
          <w:lang w:eastAsia="el-GR"/>
        </w:rPr>
        <w:t>., 2011).</w:t>
      </w:r>
      <w:r w:rsidRPr="00C80C4B">
        <w:rPr>
          <w:szCs w:val="24"/>
        </w:rPr>
        <w:t xml:space="preserve"> </w:t>
      </w:r>
    </w:p>
    <w:p w:rsidR="00DC19FA" w:rsidRPr="00240DB6" w:rsidRDefault="00DC19FA" w:rsidP="00DC19FA">
      <w:pPr>
        <w:rPr>
          <w:rFonts w:eastAsia="Times New Roman"/>
          <w:b/>
          <w:szCs w:val="24"/>
          <w:lang w:eastAsia="el-GR"/>
        </w:rPr>
      </w:pPr>
      <w:r w:rsidRPr="00C80C4B">
        <w:rPr>
          <w:szCs w:val="24"/>
        </w:rPr>
        <w:t>Τέλος, ακόμη ένας αρκετά σημαντικός παράγοντας για την εμφάνιση της ασθένειας, είναι το κάπνισμα. Μέσα από έρευνες διαφαίνεται πως ένα βασικό αίτιο το οποίο αυξάνει τον κίνδυνο για ανάπτυξη της ασθένειας ΣΚΠ, είναι το κάπνισμα, καθώς επίσης ευθύνεται και για την επιδείνωση των εκάστοτε συμπτωμάτων της. Αντίστοιχα, μέσα στις ίδιες έρευνες προκύπτει πως σε περίπτωση διακοπής του καπνίσματος, προτού ή έπειτα από την εμφάνιση της νόσου, υπάρχει άμεση σχέση με την επιδείνωση της αναπηρίας με πιο αργούς ρυθμούς</w:t>
      </w:r>
      <w:r w:rsidR="00EE7CC5" w:rsidRPr="00EE7CC5">
        <w:rPr>
          <w:szCs w:val="24"/>
        </w:rPr>
        <w:t xml:space="preserve"> (</w:t>
      </w:r>
      <w:r w:rsidR="00EE7CC5" w:rsidRPr="00EE7CC5">
        <w:rPr>
          <w:lang w:val="en-US"/>
        </w:rPr>
        <w:t>Briggs</w:t>
      </w:r>
      <w:r w:rsidR="00EE7CC5" w:rsidRPr="00EE7CC5">
        <w:t xml:space="preserve">, </w:t>
      </w:r>
      <w:r w:rsidR="00EE7CC5" w:rsidRPr="00EE7CC5">
        <w:rPr>
          <w:lang w:val="en-US"/>
        </w:rPr>
        <w:t>Acuna</w:t>
      </w:r>
      <w:r w:rsidR="00EE7CC5" w:rsidRPr="00EE7CC5">
        <w:t xml:space="preserve">, </w:t>
      </w:r>
      <w:r w:rsidR="00EE7CC5" w:rsidRPr="00EE7CC5">
        <w:rPr>
          <w:lang w:val="en-US"/>
        </w:rPr>
        <w:t>Shen</w:t>
      </w:r>
      <w:r w:rsidR="00EE7CC5" w:rsidRPr="00EE7CC5">
        <w:t xml:space="preserve">, </w:t>
      </w:r>
      <w:r w:rsidR="00EE7CC5" w:rsidRPr="00EE7CC5">
        <w:rPr>
          <w:lang w:val="en-US"/>
        </w:rPr>
        <w:t>RamsayQuach</w:t>
      </w:r>
      <w:r w:rsidR="00EE7CC5" w:rsidRPr="00EE7CC5">
        <w:t xml:space="preserve">, </w:t>
      </w:r>
      <w:r w:rsidR="00EE7CC5" w:rsidRPr="00EE7CC5">
        <w:rPr>
          <w:lang w:val="en-US"/>
        </w:rPr>
        <w:t>Bernstein</w:t>
      </w:r>
      <w:r w:rsidR="00EE7CC5" w:rsidRPr="00EE7CC5">
        <w:t xml:space="preserve">, </w:t>
      </w:r>
      <w:r w:rsidR="00EE7CC5" w:rsidRPr="00EE7CC5">
        <w:rPr>
          <w:lang w:val="en-US"/>
        </w:rPr>
        <w:t>et</w:t>
      </w:r>
      <w:r w:rsidR="00EE7CC5" w:rsidRPr="00EE7CC5">
        <w:t xml:space="preserve"> </w:t>
      </w:r>
      <w:r w:rsidR="00EE7CC5" w:rsidRPr="00EE7CC5">
        <w:rPr>
          <w:lang w:val="en-US"/>
        </w:rPr>
        <w:t>al</w:t>
      </w:r>
      <w:r w:rsidR="00EE7CC5" w:rsidRPr="00EE7CC5">
        <w:t>. (2014).</w:t>
      </w:r>
    </w:p>
    <w:p w:rsidR="00DC19FA" w:rsidRPr="00DC19FA" w:rsidRDefault="00DC19FA" w:rsidP="00DC19FA"/>
    <w:p w:rsidR="00DF7278" w:rsidRPr="00240DB6" w:rsidRDefault="00A50CA8" w:rsidP="00A50CA8">
      <w:pPr>
        <w:pStyle w:val="3"/>
      </w:pPr>
      <w:bookmarkStart w:id="15" w:name="_Toc57241621"/>
      <w:r w:rsidRPr="006119DC">
        <w:t xml:space="preserve">2.1.3 </w:t>
      </w:r>
      <w:r w:rsidR="00DF7278" w:rsidRPr="006119DC">
        <w:t>Μολυσματικοί Παράγοντες</w:t>
      </w:r>
      <w:bookmarkEnd w:id="15"/>
      <w:r w:rsidR="00DF7278" w:rsidRPr="00A50CA8">
        <w:t xml:space="preserve"> </w:t>
      </w:r>
      <w:r w:rsidR="00DF7278" w:rsidRPr="00A50CA8">
        <w:tab/>
      </w:r>
    </w:p>
    <w:p w:rsidR="00DC19FA" w:rsidRPr="001D3E60" w:rsidRDefault="00DC19FA" w:rsidP="00DC19FA">
      <w:pPr>
        <w:rPr>
          <w:rFonts w:eastAsia="Times New Roman"/>
          <w:b/>
          <w:szCs w:val="24"/>
          <w:lang w:eastAsia="el-GR"/>
        </w:rPr>
      </w:pPr>
      <w:r w:rsidRPr="001D3E60">
        <w:rPr>
          <w:szCs w:val="24"/>
        </w:rPr>
        <w:t xml:space="preserve">Μέσα από σύγχρονες μελέτες και έρευνες προκύπτει πως στην περίπτωση έκθεσης κατά την παιδική ηλικία σε βακτήρια και ιούς και λόγω του ότι είναι ήδη γνωστό πως οι ιοί ευθύνονται για την </w:t>
      </w:r>
      <w:proofErr w:type="spellStart"/>
      <w:r w:rsidRPr="001D3E60">
        <w:rPr>
          <w:szCs w:val="24"/>
        </w:rPr>
        <w:t>απομυελίνωση</w:t>
      </w:r>
      <w:proofErr w:type="spellEnd"/>
      <w:r w:rsidRPr="001D3E60">
        <w:rPr>
          <w:szCs w:val="24"/>
        </w:rPr>
        <w:t xml:space="preserve"> και τις φλεγμονές, αυξάνονται οι πιθανότητες εμφάνισης της νόσου. Είναι λοιπόν ένας κομβικός παράγοντας η έκθεση σε βακτήρια και ιούς ως προς την εμφάνιση της ασθένειας και ορισμένοι από τους ιούς αυτούς είναι και ο ανθρώπινος έρπητας, τα </w:t>
      </w:r>
      <w:proofErr w:type="spellStart"/>
      <w:r w:rsidRPr="001D3E60">
        <w:rPr>
          <w:szCs w:val="24"/>
        </w:rPr>
        <w:t>χλαμύδια</w:t>
      </w:r>
      <w:proofErr w:type="spellEnd"/>
      <w:r w:rsidRPr="001D3E60">
        <w:rPr>
          <w:szCs w:val="24"/>
        </w:rPr>
        <w:t xml:space="preserve">, ο </w:t>
      </w:r>
      <w:proofErr w:type="spellStart"/>
      <w:r w:rsidRPr="001D3E60">
        <w:rPr>
          <w:szCs w:val="24"/>
        </w:rPr>
        <w:t>Epstein-Barr</w:t>
      </w:r>
      <w:proofErr w:type="spellEnd"/>
      <w:r w:rsidRPr="001D3E60">
        <w:rPr>
          <w:szCs w:val="24"/>
        </w:rPr>
        <w:t xml:space="preserve"> </w:t>
      </w:r>
      <w:r w:rsidR="006119DC">
        <w:rPr>
          <w:szCs w:val="24"/>
        </w:rPr>
        <w:t>(</w:t>
      </w:r>
      <w:r w:rsidR="006119DC" w:rsidRPr="006119DC">
        <w:rPr>
          <w:lang w:val="en-US"/>
        </w:rPr>
        <w:t>Ascherio</w:t>
      </w:r>
      <w:r w:rsidR="006119DC" w:rsidRPr="006119DC">
        <w:t xml:space="preserve"> &amp; </w:t>
      </w:r>
      <w:r w:rsidR="006119DC" w:rsidRPr="006119DC">
        <w:rPr>
          <w:lang w:val="en-US"/>
        </w:rPr>
        <w:t>Munger</w:t>
      </w:r>
      <w:r w:rsidR="006119DC" w:rsidRPr="006119DC">
        <w:t>, 2007)</w:t>
      </w:r>
      <w:r w:rsidR="006119DC">
        <w:t xml:space="preserve"> </w:t>
      </w:r>
      <w:r w:rsidRPr="001D3E60">
        <w:rPr>
          <w:szCs w:val="24"/>
        </w:rPr>
        <w:t>και εξακολουθούν να διερευνώνται και άλλοι για να διαπιστωθεί η εμπλοκή αυτών στην ανάπτυξη της σκλήρυνσης κατά πλάκας.</w:t>
      </w:r>
    </w:p>
    <w:p w:rsidR="00DC19FA" w:rsidRPr="00DC19FA" w:rsidRDefault="00DC19FA" w:rsidP="00DC19FA"/>
    <w:p w:rsidR="00DF7278" w:rsidRPr="00240DB6" w:rsidRDefault="00A50CA8" w:rsidP="00A50CA8">
      <w:pPr>
        <w:pStyle w:val="3"/>
      </w:pPr>
      <w:bookmarkStart w:id="16" w:name="_Toc57241622"/>
      <w:r w:rsidRPr="006119DC">
        <w:lastRenderedPageBreak/>
        <w:t xml:space="preserve">2.1.4 </w:t>
      </w:r>
      <w:r w:rsidR="00DF7278" w:rsidRPr="006119DC">
        <w:t>Γενετικοί Παράγοντες</w:t>
      </w:r>
      <w:bookmarkEnd w:id="16"/>
      <w:r w:rsidR="00DF7278" w:rsidRPr="00A50CA8">
        <w:t xml:space="preserve"> </w:t>
      </w:r>
    </w:p>
    <w:p w:rsidR="00DC19FA" w:rsidRDefault="00DC19FA" w:rsidP="00DC19FA">
      <w:pPr>
        <w:rPr>
          <w:color w:val="0000FF"/>
          <w:szCs w:val="24"/>
        </w:rPr>
      </w:pPr>
      <w:r w:rsidRPr="00FD11B6">
        <w:rPr>
          <w:szCs w:val="24"/>
        </w:rPr>
        <w:t>Είναι πλέον αποδεδειγμένο πως η σκλήρυνση κατά πλάκας, δεν αποτελεί κληρονομική ασθένεια, ωστόσο φαίνεται π</w:t>
      </w:r>
      <w:r w:rsidRPr="004D62F0">
        <w:rPr>
          <w:szCs w:val="24"/>
        </w:rPr>
        <w:t xml:space="preserve">ως η συγγένεια έχει ουσιαστικό ρόλο αναφορικά με την εμφάνιση της. Στην περίπτωση πρώτου βαθμού συγγένειας π.χ. γονέα ή αδέρφια με τον ασθενή τότε είναι σημαντικά αυξημένες οι πιθανότητες για εμφάνιση της στον συγγενή. Όπως φάνηκε μέσα από έρευνες συμβαίνει υψηλότερη επικράτηση σε κάποια από τα γονίδια στους πληθυσμούς που εμφανίζουν υψηλά ποσοστά της ασθένειας. Επιπρόσθετα, έχουν βρεθεί ορισμένοι γενετικοί παράγοντες μέσα σε οικογένειες που υπάρχουν παραπάνω μέλη με την νόσο. Ορισμένοι ερευνητές αναφέρονται στη γενετική προδιάθεση του ατόμου οπότε αντιδρά αυτό στους περιβαλλοντολογικούς παράγοντες εάν ο οργανισμός εκτεθεί σε αυτούς, κάτι που πυροδοτεί απόκριση του ανοσοποιητικού. Τελευταίες έρευνες βρίσκονται κοντά στην ανακάλυψη του κατά πόσο έχουν ενεργό ρόλο τα γονίδια αναφορικά με την ανάπτυξη της νόσου. </w:t>
      </w:r>
      <w:r w:rsidRPr="00445993">
        <w:rPr>
          <w:szCs w:val="24"/>
        </w:rPr>
        <w:t xml:space="preserve">Στο διάγραμμα </w:t>
      </w:r>
      <w:r w:rsidR="00445993" w:rsidRPr="00445993">
        <w:rPr>
          <w:szCs w:val="24"/>
        </w:rPr>
        <w:t xml:space="preserve">που ακολουθεί αναφέρονται </w:t>
      </w:r>
      <w:r w:rsidRPr="00445993">
        <w:rPr>
          <w:szCs w:val="24"/>
        </w:rPr>
        <w:t xml:space="preserve">οι πιθανότητες </w:t>
      </w:r>
      <w:r w:rsidR="00445993" w:rsidRPr="00445993">
        <w:rPr>
          <w:szCs w:val="24"/>
        </w:rPr>
        <w:t>να εμφανιστεί η νόσος βάσει διαφόρων γεν</w:t>
      </w:r>
      <w:r w:rsidRPr="00445993">
        <w:rPr>
          <w:szCs w:val="24"/>
        </w:rPr>
        <w:t>ετικών αιτιών</w:t>
      </w:r>
      <w:r w:rsidR="00445993" w:rsidRPr="00445993">
        <w:rPr>
          <w:szCs w:val="24"/>
        </w:rPr>
        <w:t xml:space="preserve"> καθώς επίσης κατηγοριοποιούνται ανά </w:t>
      </w:r>
      <w:r w:rsidRPr="00445993">
        <w:rPr>
          <w:szCs w:val="24"/>
        </w:rPr>
        <w:t xml:space="preserve">γενετική συγγένειας. </w:t>
      </w:r>
      <w:r w:rsidR="00445993" w:rsidRPr="00445993">
        <w:rPr>
          <w:szCs w:val="24"/>
        </w:rPr>
        <w:t xml:space="preserve">Για την κατανόηση του διαγράμματος αναφέρουμε σε τι αντιστοιχεί η κάθε κατηγορία. Η πρώτη αναφέρεται σε </w:t>
      </w:r>
      <w:proofErr w:type="spellStart"/>
      <w:r w:rsidR="00445993" w:rsidRPr="00445993">
        <w:rPr>
          <w:szCs w:val="24"/>
        </w:rPr>
        <w:t>πανομοιότυτπα</w:t>
      </w:r>
      <w:proofErr w:type="spellEnd"/>
      <w:r w:rsidR="00445993" w:rsidRPr="00445993">
        <w:rPr>
          <w:szCs w:val="24"/>
        </w:rPr>
        <w:t xml:space="preserve"> δίδυμα αδέρφια ασθενούς με </w:t>
      </w:r>
      <w:r w:rsidRPr="00445993">
        <w:rPr>
          <w:szCs w:val="24"/>
        </w:rPr>
        <w:t xml:space="preserve">ΣΚΠ </w:t>
      </w:r>
      <w:r w:rsidR="00445993" w:rsidRPr="00445993">
        <w:rPr>
          <w:szCs w:val="24"/>
        </w:rPr>
        <w:t>(</w:t>
      </w:r>
      <w:r w:rsidRPr="00445993">
        <w:rPr>
          <w:szCs w:val="24"/>
        </w:rPr>
        <w:t>31%</w:t>
      </w:r>
      <w:r w:rsidR="00445993" w:rsidRPr="00445993">
        <w:rPr>
          <w:szCs w:val="24"/>
        </w:rPr>
        <w:t>), στη δεύτερη σε μη</w:t>
      </w:r>
      <w:r w:rsidRPr="00445993">
        <w:rPr>
          <w:szCs w:val="24"/>
        </w:rPr>
        <w:t>-πανομοιότυπ</w:t>
      </w:r>
      <w:r w:rsidR="00445993" w:rsidRPr="00445993">
        <w:rPr>
          <w:szCs w:val="24"/>
        </w:rPr>
        <w:t>α Δίδυμα</w:t>
      </w:r>
      <w:r w:rsidRPr="00445993">
        <w:rPr>
          <w:szCs w:val="24"/>
        </w:rPr>
        <w:t xml:space="preserve"> </w:t>
      </w:r>
      <w:proofErr w:type="spellStart"/>
      <w:r w:rsidRPr="00445993">
        <w:rPr>
          <w:szCs w:val="24"/>
        </w:rPr>
        <w:t>Αδερφ</w:t>
      </w:r>
      <w:r w:rsidR="00445993" w:rsidRPr="00445993">
        <w:rPr>
          <w:szCs w:val="24"/>
        </w:rPr>
        <w:t>ια</w:t>
      </w:r>
      <w:proofErr w:type="spellEnd"/>
      <w:r w:rsidR="00445993" w:rsidRPr="00445993">
        <w:rPr>
          <w:szCs w:val="24"/>
        </w:rPr>
        <w:t xml:space="preserve"> ασθενούς</w:t>
      </w:r>
      <w:r w:rsidRPr="00445993">
        <w:rPr>
          <w:szCs w:val="24"/>
        </w:rPr>
        <w:t xml:space="preserve"> με ΣΚΠ </w:t>
      </w:r>
      <w:r w:rsidR="00445993" w:rsidRPr="00445993">
        <w:rPr>
          <w:szCs w:val="24"/>
        </w:rPr>
        <w:t>(</w:t>
      </w:r>
      <w:r w:rsidRPr="00445993">
        <w:rPr>
          <w:szCs w:val="24"/>
        </w:rPr>
        <w:t>5%</w:t>
      </w:r>
      <w:r w:rsidR="00445993" w:rsidRPr="00445993">
        <w:rPr>
          <w:szCs w:val="24"/>
        </w:rPr>
        <w:t>), στην τρίτη κ</w:t>
      </w:r>
      <w:r w:rsidRPr="00445993">
        <w:rPr>
          <w:szCs w:val="24"/>
        </w:rPr>
        <w:t>ατηγορία</w:t>
      </w:r>
      <w:r w:rsidR="00445993" w:rsidRPr="00445993">
        <w:rPr>
          <w:szCs w:val="24"/>
        </w:rPr>
        <w:t xml:space="preserve"> αναφέρονται περιπτώσεις ατόμου συγγενικού περιβάλλοντος πρώτου βαθμού με ασθενή με Σ</w:t>
      </w:r>
      <w:r w:rsidRPr="00445993">
        <w:rPr>
          <w:szCs w:val="24"/>
        </w:rPr>
        <w:t xml:space="preserve">ΚΠ </w:t>
      </w:r>
      <w:r w:rsidR="00445993" w:rsidRPr="00445993">
        <w:rPr>
          <w:szCs w:val="24"/>
        </w:rPr>
        <w:t>(</w:t>
      </w:r>
      <w:r w:rsidRPr="00445993">
        <w:rPr>
          <w:szCs w:val="24"/>
        </w:rPr>
        <w:t>3%</w:t>
      </w:r>
      <w:r w:rsidR="00445993" w:rsidRPr="00445993">
        <w:rPr>
          <w:szCs w:val="24"/>
        </w:rPr>
        <w:t>) και στην τελευταία κ</w:t>
      </w:r>
      <w:r w:rsidRPr="00445993">
        <w:rPr>
          <w:szCs w:val="24"/>
        </w:rPr>
        <w:t xml:space="preserve">ατηγορία </w:t>
      </w:r>
      <w:r w:rsidR="00445993" w:rsidRPr="00445993">
        <w:rPr>
          <w:szCs w:val="24"/>
        </w:rPr>
        <w:t>την περίπτωση υ</w:t>
      </w:r>
      <w:r w:rsidRPr="00445993">
        <w:rPr>
          <w:szCs w:val="24"/>
        </w:rPr>
        <w:t>ιοθετημένο</w:t>
      </w:r>
      <w:r w:rsidR="00445993" w:rsidRPr="00445993">
        <w:rPr>
          <w:szCs w:val="24"/>
        </w:rPr>
        <w:t>υ ατόμου ή γενικότερα σ</w:t>
      </w:r>
      <w:r w:rsidRPr="00445993">
        <w:rPr>
          <w:szCs w:val="24"/>
        </w:rPr>
        <w:t>υγγενή</w:t>
      </w:r>
      <w:r w:rsidR="00445993" w:rsidRPr="00445993">
        <w:rPr>
          <w:szCs w:val="24"/>
        </w:rPr>
        <w:t xml:space="preserve"> που δεν είναι </w:t>
      </w:r>
      <w:r w:rsidRPr="00445993">
        <w:rPr>
          <w:szCs w:val="24"/>
        </w:rPr>
        <w:t xml:space="preserve">εξ’ αίματος </w:t>
      </w:r>
      <w:r w:rsidR="00445993" w:rsidRPr="00445993">
        <w:rPr>
          <w:szCs w:val="24"/>
        </w:rPr>
        <w:t xml:space="preserve">με ασθενή που πάσχει από </w:t>
      </w:r>
      <w:r w:rsidRPr="00445993">
        <w:rPr>
          <w:szCs w:val="24"/>
        </w:rPr>
        <w:t xml:space="preserve">ΣΚΠ </w:t>
      </w:r>
      <w:r w:rsidR="00445993" w:rsidRPr="00445993">
        <w:rPr>
          <w:szCs w:val="24"/>
        </w:rPr>
        <w:t>(</w:t>
      </w:r>
      <w:r w:rsidRPr="00445993">
        <w:rPr>
          <w:szCs w:val="24"/>
        </w:rPr>
        <w:t>1%</w:t>
      </w:r>
      <w:r w:rsidR="00445993" w:rsidRPr="00445993">
        <w:rPr>
          <w:szCs w:val="24"/>
        </w:rPr>
        <w:t>)</w:t>
      </w:r>
      <w:r w:rsidRPr="00445993">
        <w:rPr>
          <w:szCs w:val="24"/>
        </w:rPr>
        <w:t>.</w:t>
      </w:r>
    </w:p>
    <w:p w:rsidR="00445993" w:rsidRDefault="00B95938" w:rsidP="00445993">
      <w:pPr>
        <w:keepNext/>
        <w:ind w:firstLine="0"/>
        <w:jc w:val="center"/>
      </w:pPr>
      <w:r>
        <w:rPr>
          <w:rFonts w:eastAsia="Times New Roman"/>
          <w:b/>
          <w:noProof/>
          <w:color w:val="0000FF"/>
          <w:szCs w:val="24"/>
          <w:lang w:eastAsia="el-GR"/>
        </w:rPr>
        <w:drawing>
          <wp:inline distT="0" distB="0" distL="0" distR="0">
            <wp:extent cx="5060315" cy="2933700"/>
            <wp:effectExtent l="0" t="0" r="0" b="0"/>
            <wp:docPr id="3" name="Εικόνα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a:extLst>
                        <a:ext uri="{28A0092B-C50C-407E-A947-70E740481C1C}">
                          <a14:useLocalDpi xmlns:a14="http://schemas.microsoft.com/office/drawing/2010/main" val="0"/>
                        </a:ext>
                      </a:extLst>
                    </a:blip>
                    <a:srcRect l="23840" t="28319" r="24669" b="18584"/>
                    <a:stretch>
                      <a:fillRect/>
                    </a:stretch>
                  </pic:blipFill>
                  <pic:spPr bwMode="auto">
                    <a:xfrm>
                      <a:off x="0" y="0"/>
                      <a:ext cx="5060315" cy="2933700"/>
                    </a:xfrm>
                    <a:prstGeom prst="rect">
                      <a:avLst/>
                    </a:prstGeom>
                    <a:noFill/>
                    <a:ln>
                      <a:noFill/>
                    </a:ln>
                  </pic:spPr>
                </pic:pic>
              </a:graphicData>
            </a:graphic>
          </wp:inline>
        </w:drawing>
      </w:r>
    </w:p>
    <w:p w:rsidR="00F6789D" w:rsidRDefault="00445993" w:rsidP="00445993">
      <w:pPr>
        <w:pStyle w:val="a6"/>
        <w:jc w:val="center"/>
      </w:pPr>
      <w:bookmarkStart w:id="17" w:name="_Toc57241659"/>
      <w:r>
        <w:t xml:space="preserve">Εικόνα </w:t>
      </w:r>
      <w:r w:rsidR="0079502A">
        <w:fldChar w:fldCharType="begin"/>
      </w:r>
      <w:r w:rsidR="0079502A">
        <w:instrText xml:space="preserve"> SEQ Εικόνα \* ARABIC </w:instrText>
      </w:r>
      <w:r w:rsidR="0079502A">
        <w:fldChar w:fldCharType="separate"/>
      </w:r>
      <w:r w:rsidR="009559DE">
        <w:rPr>
          <w:noProof/>
        </w:rPr>
        <w:t>1</w:t>
      </w:r>
      <w:r w:rsidR="0079502A">
        <w:rPr>
          <w:noProof/>
        </w:rPr>
        <w:fldChar w:fldCharType="end"/>
      </w:r>
      <w:r>
        <w:t xml:space="preserve">: </w:t>
      </w:r>
      <w:r w:rsidRPr="00445993">
        <w:t>Οι Πιθανότητες Ανάπτ</w:t>
      </w:r>
      <w:r w:rsidR="00F6789D">
        <w:t>υξης της Νόσου (Γενετικά Αίτια)</w:t>
      </w:r>
      <w:bookmarkEnd w:id="17"/>
      <w:r>
        <w:t xml:space="preserve"> </w:t>
      </w:r>
    </w:p>
    <w:p w:rsidR="00445993" w:rsidRPr="009559DE" w:rsidRDefault="009559DE" w:rsidP="00F6789D">
      <w:pPr>
        <w:jc w:val="center"/>
        <w:rPr>
          <w:sz w:val="22"/>
          <w:lang w:eastAsia="el-GR"/>
        </w:rPr>
      </w:pPr>
      <w:r>
        <w:rPr>
          <w:sz w:val="22"/>
          <w:lang w:eastAsia="el-GR"/>
        </w:rPr>
        <w:lastRenderedPageBreak/>
        <w:t>Πη</w:t>
      </w:r>
      <w:r w:rsidR="00445993" w:rsidRPr="009559DE">
        <w:rPr>
          <w:sz w:val="22"/>
          <w:lang w:eastAsia="el-GR"/>
        </w:rPr>
        <w:t xml:space="preserve">γή: </w:t>
      </w:r>
      <w:proofErr w:type="spellStart"/>
      <w:r w:rsidR="00445993" w:rsidRPr="009559DE">
        <w:rPr>
          <w:sz w:val="22"/>
          <w:lang w:eastAsia="el-GR"/>
        </w:rPr>
        <w:t>Αλατσαθιάνου</w:t>
      </w:r>
      <w:proofErr w:type="spellEnd"/>
      <w:r w:rsidR="00445993" w:rsidRPr="009559DE">
        <w:rPr>
          <w:sz w:val="22"/>
          <w:lang w:eastAsia="el-GR"/>
        </w:rPr>
        <w:t xml:space="preserve"> &amp; Κωνσταντίνου</w:t>
      </w:r>
      <w:r>
        <w:rPr>
          <w:sz w:val="22"/>
          <w:lang w:eastAsia="el-GR"/>
        </w:rPr>
        <w:t xml:space="preserve"> (</w:t>
      </w:r>
      <w:r w:rsidR="00445993" w:rsidRPr="009559DE">
        <w:rPr>
          <w:sz w:val="22"/>
          <w:lang w:eastAsia="el-GR"/>
        </w:rPr>
        <w:t>2014)</w:t>
      </w:r>
    </w:p>
    <w:p w:rsidR="00DC19FA" w:rsidRPr="00DC19FA" w:rsidRDefault="00DC19FA" w:rsidP="00DC19FA"/>
    <w:p w:rsidR="00A358AA" w:rsidRPr="00240DB6" w:rsidRDefault="00A50CA8" w:rsidP="00A50CA8">
      <w:pPr>
        <w:pStyle w:val="2"/>
        <w:rPr>
          <w:lang w:eastAsia="el-GR"/>
        </w:rPr>
      </w:pPr>
      <w:bookmarkStart w:id="18" w:name="_Toc57241623"/>
      <w:r w:rsidRPr="00A50CA8">
        <w:rPr>
          <w:lang w:eastAsia="el-GR"/>
        </w:rPr>
        <w:t xml:space="preserve">2.2 </w:t>
      </w:r>
      <w:r w:rsidR="00A358AA" w:rsidRPr="00A50CA8">
        <w:rPr>
          <w:lang w:eastAsia="el-GR"/>
        </w:rPr>
        <w:t>Μορφές της νόσου</w:t>
      </w:r>
      <w:bookmarkEnd w:id="18"/>
    </w:p>
    <w:p w:rsidR="000001B4" w:rsidRDefault="000001B4" w:rsidP="000001B4">
      <w:pPr>
        <w:rPr>
          <w:lang w:eastAsia="el-GR"/>
        </w:rPr>
      </w:pPr>
      <w:r>
        <w:rPr>
          <w:lang w:eastAsia="el-GR"/>
        </w:rPr>
        <w:t xml:space="preserve">Η νόσος της πολλαπλής σκλήρυνση εμφανίζεται μέσα από διάφορες μορφές που βασίζονται σε διαφορετικά κριτήρια παθολογοανατομίας, ανοσολογίας ή νευρολογίας. Η βιβλιογραφία αναφέρει ότι σειρά </w:t>
      </w:r>
      <w:proofErr w:type="spellStart"/>
      <w:r>
        <w:rPr>
          <w:lang w:eastAsia="el-GR"/>
        </w:rPr>
        <w:t>απομυελινωτικών</w:t>
      </w:r>
      <w:proofErr w:type="spellEnd"/>
      <w:r>
        <w:rPr>
          <w:lang w:eastAsia="el-GR"/>
        </w:rPr>
        <w:t xml:space="preserve"> παθήσεων που προσβάλουν το κεντρικό νευρικό σύστημα του ατόμου και διακρίνονται σε πέντε διαφορετικές κλινικές οντότητες, με διαφορετικά χαρακτηριστικά που αναφέρονται στην κλινική εικόνα, την ανατομία αλλά και την παθολογία του ασθενούς. Οι παραπάνω κλινικές οντότητες χαρακτηρίζονται από ιδιοπάθεια και άλλοτε παρουσιάζουν κοινά χαρακτηριστικά όπως σε αυτά της </w:t>
      </w:r>
      <w:proofErr w:type="spellStart"/>
      <w:r>
        <w:rPr>
          <w:lang w:eastAsia="el-GR"/>
        </w:rPr>
        <w:t>παθολοανατομίας</w:t>
      </w:r>
      <w:proofErr w:type="spellEnd"/>
      <w:r>
        <w:rPr>
          <w:lang w:eastAsia="el-GR"/>
        </w:rPr>
        <w:t>. Για τους παραπάνω λόγους, δυσχεραίνεται η δυνατότητα διαχωρισμού.</w:t>
      </w:r>
    </w:p>
    <w:p w:rsidR="000001B4" w:rsidRDefault="000001B4" w:rsidP="000001B4">
      <w:pPr>
        <w:rPr>
          <w:lang w:eastAsia="el-GR"/>
        </w:rPr>
      </w:pPr>
      <w:r>
        <w:rPr>
          <w:lang w:eastAsia="el-GR"/>
        </w:rPr>
        <w:t xml:space="preserve">Παρόλα ταύτα, η μορφή που θεωρείται ως η κλασσική για τη νόσο της σκλήρυνσης κατά πλάκας είναι αυτή που είναι και η κυρίαρχη. Τα βασικά χαρακτηριστικά αυτής της μορφής είναι η χρόνια παρουσία της στον ασθενή, με χαμηλά ποσοστά </w:t>
      </w:r>
      <w:proofErr w:type="spellStart"/>
      <w:r>
        <w:rPr>
          <w:lang w:eastAsia="el-GR"/>
        </w:rPr>
        <w:t>ατροφικότητας</w:t>
      </w:r>
      <w:proofErr w:type="spellEnd"/>
      <w:r>
        <w:rPr>
          <w:lang w:eastAsia="el-GR"/>
        </w:rPr>
        <w:t xml:space="preserve"> του εγκεφάλου και περιορισμό στη διάταση των κοιλιών. Άλλο χαρακτηριστικό της κλασσικής μορφής είναι η καταγραφή αυξημένου αριθμού </w:t>
      </w:r>
      <w:proofErr w:type="spellStart"/>
      <w:r>
        <w:rPr>
          <w:lang w:eastAsia="el-GR"/>
        </w:rPr>
        <w:t>απομυελινωτικών</w:t>
      </w:r>
      <w:proofErr w:type="spellEnd"/>
      <w:r>
        <w:rPr>
          <w:lang w:eastAsia="el-GR"/>
        </w:rPr>
        <w:t xml:space="preserve"> πλακών </w:t>
      </w:r>
      <w:r w:rsidR="0041787E">
        <w:rPr>
          <w:lang w:eastAsia="el-GR"/>
        </w:rPr>
        <w:t xml:space="preserve">στη λευκή ουσία αντίθετα με τη μικρότερη καταγραφή στην φαιά ουσία των εγκεφαλικών ημισφαιρίων. Επιπρόσθετα, καταγράφεται διαφορά σε διάφορα χαρακτηριστικά του ασθενούς πχ την ηλικία αλλά και στις εμφάνιση των πλακών στο πλαίσιο της μορφής ή του μεγέθους τους. </w:t>
      </w:r>
      <w:r w:rsidR="00C91A4D">
        <w:rPr>
          <w:lang w:eastAsia="el-GR"/>
        </w:rPr>
        <w:t xml:space="preserve">Οι πλάκες εντοπίζονται συχνότερα στα αιμοφόρα </w:t>
      </w:r>
      <w:r w:rsidR="00F24D2F">
        <w:rPr>
          <w:lang w:eastAsia="el-GR"/>
        </w:rPr>
        <w:t>αγγεία</w:t>
      </w:r>
      <w:r w:rsidR="00C91A4D">
        <w:rPr>
          <w:lang w:eastAsia="el-GR"/>
        </w:rPr>
        <w:t xml:space="preserve"> και </w:t>
      </w:r>
      <w:proofErr w:type="spellStart"/>
      <w:r w:rsidR="00C91A4D">
        <w:rPr>
          <w:lang w:eastAsia="el-GR"/>
        </w:rPr>
        <w:t>περιμετρικα</w:t>
      </w:r>
      <w:proofErr w:type="spellEnd"/>
      <w:r w:rsidR="00C91A4D">
        <w:rPr>
          <w:lang w:eastAsia="el-GR"/>
        </w:rPr>
        <w:t xml:space="preserve"> από αυτά χωρίς να είναι μόνιμο γεγονός για όλους τους ασθενείς. Τονίζεται ιδιαίτερα ότι η παρουσία τους βρίσκεται άλλοτε </w:t>
      </w:r>
      <w:proofErr w:type="spellStart"/>
      <w:r w:rsidR="00C91A4D">
        <w:rPr>
          <w:lang w:eastAsia="el-GR"/>
        </w:rPr>
        <w:t>περικοιλιακά</w:t>
      </w:r>
      <w:proofErr w:type="spellEnd"/>
      <w:r w:rsidR="00C91A4D">
        <w:rPr>
          <w:lang w:eastAsia="el-GR"/>
        </w:rPr>
        <w:t xml:space="preserve"> στο στέλεχος, είτε στα παρεγκεφαλιδικά σκέλη του ανώτερου επιπέδου, εντός της λευκής ουσίας της παρεγκεφαλίτιδας, στην περιοχή του νωτιαίου μυελού, στα </w:t>
      </w:r>
      <w:proofErr w:type="spellStart"/>
      <w:r w:rsidR="00C91A4D">
        <w:rPr>
          <w:lang w:eastAsia="el-GR"/>
        </w:rPr>
        <w:t>ιναιακά</w:t>
      </w:r>
      <w:proofErr w:type="spellEnd"/>
      <w:r w:rsidR="00C91A4D">
        <w:rPr>
          <w:lang w:eastAsia="el-GR"/>
        </w:rPr>
        <w:t xml:space="preserve"> κέρατα αλλά στις οπτικές οδούς.</w:t>
      </w:r>
    </w:p>
    <w:p w:rsidR="00FB322F" w:rsidRPr="00240DB6" w:rsidRDefault="00FB322F" w:rsidP="000001B4">
      <w:pPr>
        <w:rPr>
          <w:rStyle w:val="tlid-translation"/>
        </w:rPr>
      </w:pPr>
      <w:r>
        <w:rPr>
          <w:rStyle w:val="tlid-translation"/>
        </w:rPr>
        <w:t xml:space="preserve">Η παραλλαγή </w:t>
      </w:r>
      <w:proofErr w:type="spellStart"/>
      <w:r>
        <w:rPr>
          <w:rStyle w:val="tlid-translation"/>
        </w:rPr>
        <w:t>Marburg</w:t>
      </w:r>
      <w:proofErr w:type="spellEnd"/>
      <w:r>
        <w:rPr>
          <w:rStyle w:val="tlid-translation"/>
        </w:rPr>
        <w:t xml:space="preserve"> της σκλήρυνσης κατά πλάκας ή </w:t>
      </w:r>
      <w:proofErr w:type="spellStart"/>
      <w:r w:rsidRPr="00FB322F">
        <w:t>Fulminant</w:t>
      </w:r>
      <w:proofErr w:type="spellEnd"/>
      <w:r>
        <w:t xml:space="preserve"> </w:t>
      </w:r>
      <w:r>
        <w:rPr>
          <w:rStyle w:val="tlid-translation"/>
        </w:rPr>
        <w:t>σκλήρυνση κατά πλάκας (FMS) είναι μια σπάνια αλλά εξαιρετικά επιθετική ασθένεια. Χαρακτηρίζεται από ταχέως προοδευτική επιδείνωση των νευρολογικών συμπτωμάτων, μερικές φορές, ακόμη και εβδομάδες ή μήνες μετά την πρώτη επίθεση (</w:t>
      </w:r>
      <w:r>
        <w:rPr>
          <w:rStyle w:val="tlid-translation"/>
          <w:lang w:val="en-US"/>
        </w:rPr>
        <w:t>Ropper</w:t>
      </w:r>
      <w:r w:rsidR="007D4090" w:rsidRPr="007D4090">
        <w:rPr>
          <w:rStyle w:val="tlid-translation"/>
        </w:rPr>
        <w:t xml:space="preserve"> &amp;</w:t>
      </w:r>
      <w:r w:rsidRPr="00FB322F">
        <w:rPr>
          <w:rStyle w:val="tlid-translation"/>
        </w:rPr>
        <w:t xml:space="preserve"> </w:t>
      </w:r>
      <w:r>
        <w:rPr>
          <w:rStyle w:val="tlid-translation"/>
          <w:lang w:val="en-US"/>
        </w:rPr>
        <w:t>Samuels</w:t>
      </w:r>
      <w:r w:rsidR="007D4090" w:rsidRPr="007D4090">
        <w:rPr>
          <w:rStyle w:val="tlid-translation"/>
        </w:rPr>
        <w:t>, 2009</w:t>
      </w:r>
      <w:r>
        <w:rPr>
          <w:rStyle w:val="tlid-translation"/>
        </w:rPr>
        <w:t>). Αυτό έχει ως αποτέλεσμα την προοδευτική ευρεία καταστροφή των λευκών ουσιών στον εγκεφαλικό φλοιό, αλλά μπορεί ακόμη και να επεκταθεί ώστε να περιλάβει ζωτικές δομές εγκεφάλου. Η διαχείριση αυτής της</w:t>
      </w:r>
      <w:r w:rsidR="00F24D2F">
        <w:rPr>
          <w:rStyle w:val="tlid-translation"/>
        </w:rPr>
        <w:t xml:space="preserve"> παραλλαγής</w:t>
      </w:r>
      <w:r>
        <w:rPr>
          <w:rStyle w:val="tlid-translation"/>
        </w:rPr>
        <w:t xml:space="preserve"> είναι πολύ δύσκολη καθώς το αποτέλεσμα σε πολλές περιπτώσεις είναι είτε σοβαρή αναπηρία του ασθενούς, είτε θάνατος. Οι επιλογές θεραπείας για </w:t>
      </w:r>
      <w:r w:rsidR="00BB2EE8">
        <w:rPr>
          <w:rStyle w:val="tlid-translation"/>
        </w:rPr>
        <w:t xml:space="preserve">την </w:t>
      </w:r>
      <w:r>
        <w:rPr>
          <w:rStyle w:val="tlid-translation"/>
        </w:rPr>
        <w:t xml:space="preserve">FMS περιλαμβάνουν </w:t>
      </w:r>
      <w:proofErr w:type="spellStart"/>
      <w:r>
        <w:rPr>
          <w:rStyle w:val="tlid-translation"/>
        </w:rPr>
        <w:t>κορτικοστεροειδή</w:t>
      </w:r>
      <w:proofErr w:type="spellEnd"/>
      <w:r>
        <w:rPr>
          <w:rStyle w:val="tlid-translation"/>
        </w:rPr>
        <w:t xml:space="preserve"> υψηλής δόσης, σειριακές μεταγγίσεις </w:t>
      </w:r>
      <w:r>
        <w:rPr>
          <w:rStyle w:val="tlid-translation"/>
        </w:rPr>
        <w:lastRenderedPageBreak/>
        <w:t xml:space="preserve">ανταλλαγής πλάσματος, </w:t>
      </w:r>
      <w:proofErr w:type="spellStart"/>
      <w:r>
        <w:rPr>
          <w:rStyle w:val="tlid-translation"/>
        </w:rPr>
        <w:t>ανοσοσφαιρίνες</w:t>
      </w:r>
      <w:proofErr w:type="spellEnd"/>
      <w:r>
        <w:rPr>
          <w:rStyle w:val="tlid-translation"/>
        </w:rPr>
        <w:t xml:space="preserve"> και παράγοντες τροποποίησης της νόσου (</w:t>
      </w:r>
      <w:proofErr w:type="spellStart"/>
      <w:r>
        <w:rPr>
          <w:rStyle w:val="tlid-translation"/>
        </w:rPr>
        <w:t>μιτοξαντρόνη</w:t>
      </w:r>
      <w:proofErr w:type="spellEnd"/>
      <w:r>
        <w:rPr>
          <w:rStyle w:val="tlid-translation"/>
        </w:rPr>
        <w:t xml:space="preserve"> και </w:t>
      </w:r>
      <w:proofErr w:type="spellStart"/>
      <w:r>
        <w:rPr>
          <w:rStyle w:val="tlid-translation"/>
        </w:rPr>
        <w:t>κυκλοφωσφαμίδη</w:t>
      </w:r>
      <w:proofErr w:type="spellEnd"/>
      <w:r>
        <w:rPr>
          <w:rStyle w:val="tlid-translation"/>
        </w:rPr>
        <w:t>). Οι ασθενείς χρειάζονται επίσης έντονη συμμετοχή διαφόρων υπηρεσιών υποστήριξης για να τους βοηθήσουν σε περιόδους αναπηρίας</w:t>
      </w:r>
      <w:r w:rsidR="007D4090" w:rsidRPr="007D4090">
        <w:rPr>
          <w:rStyle w:val="tlid-translation"/>
        </w:rPr>
        <w:t xml:space="preserve"> (</w:t>
      </w:r>
      <w:r w:rsidR="007D4090" w:rsidRPr="007D4090">
        <w:rPr>
          <w:lang w:val="en-US"/>
        </w:rPr>
        <w:t>Imtiaz</w:t>
      </w:r>
      <w:r w:rsidR="007D4090" w:rsidRPr="007D4090">
        <w:t xml:space="preserve">, </w:t>
      </w:r>
      <w:r w:rsidR="007D4090" w:rsidRPr="007D4090">
        <w:rPr>
          <w:lang w:val="en-US"/>
        </w:rPr>
        <w:t>Siddiqui</w:t>
      </w:r>
      <w:r w:rsidR="007D4090" w:rsidRPr="007D4090">
        <w:t xml:space="preserve"> &amp; </w:t>
      </w:r>
      <w:r w:rsidR="007D4090" w:rsidRPr="007D4090">
        <w:rPr>
          <w:lang w:val="en-US"/>
        </w:rPr>
        <w:t>Arsalan</w:t>
      </w:r>
      <w:r w:rsidR="007D4090">
        <w:t>, 201</w:t>
      </w:r>
      <w:r w:rsidR="007D4090" w:rsidRPr="007D4090">
        <w:t>5)</w:t>
      </w:r>
      <w:r>
        <w:rPr>
          <w:rStyle w:val="tlid-translation"/>
        </w:rPr>
        <w:t>.</w:t>
      </w:r>
    </w:p>
    <w:p w:rsidR="00BB2EE8" w:rsidRPr="00240DB6" w:rsidRDefault="00BB2EE8" w:rsidP="000001B4">
      <w:pPr>
        <w:rPr>
          <w:rStyle w:val="tlid-translation"/>
        </w:rPr>
      </w:pPr>
      <w:r>
        <w:rPr>
          <w:rStyle w:val="tlid-translation"/>
        </w:rPr>
        <w:t xml:space="preserve">Η </w:t>
      </w:r>
      <w:proofErr w:type="spellStart"/>
      <w:r>
        <w:rPr>
          <w:rStyle w:val="tlid-translation"/>
        </w:rPr>
        <w:t>μυελινοκλαστική</w:t>
      </w:r>
      <w:proofErr w:type="spellEnd"/>
      <w:r>
        <w:rPr>
          <w:rStyle w:val="tlid-translation"/>
        </w:rPr>
        <w:t xml:space="preserve"> διάχυτη σκλήρυνση </w:t>
      </w:r>
      <w:r w:rsidR="007C0EF2">
        <w:rPr>
          <w:rStyle w:val="tlid-translation"/>
        </w:rPr>
        <w:t xml:space="preserve">ή διάχυτη εγκεφαλική σκλήρυνση </w:t>
      </w:r>
      <w:r>
        <w:rPr>
          <w:rStyle w:val="tlid-translation"/>
        </w:rPr>
        <w:t xml:space="preserve">(νόσος του </w:t>
      </w:r>
      <w:proofErr w:type="spellStart"/>
      <w:r>
        <w:rPr>
          <w:rStyle w:val="tlid-translation"/>
        </w:rPr>
        <w:t>Schilder</w:t>
      </w:r>
      <w:proofErr w:type="spellEnd"/>
      <w:r>
        <w:rPr>
          <w:rStyle w:val="tlid-translation"/>
        </w:rPr>
        <w:t xml:space="preserve">) είναι μια σπάνια </w:t>
      </w:r>
      <w:proofErr w:type="spellStart"/>
      <w:r>
        <w:rPr>
          <w:rStyle w:val="tlid-translation"/>
        </w:rPr>
        <w:t>απομυελινωτική</w:t>
      </w:r>
      <w:proofErr w:type="spellEnd"/>
      <w:r>
        <w:rPr>
          <w:rStyle w:val="tlid-translation"/>
        </w:rPr>
        <w:t xml:space="preserve"> ασθένει</w:t>
      </w:r>
      <w:r w:rsidR="00667863">
        <w:rPr>
          <w:rStyle w:val="tlid-translation"/>
        </w:rPr>
        <w:t xml:space="preserve">α </w:t>
      </w:r>
      <w:r w:rsidR="00667863" w:rsidRPr="00667863">
        <w:rPr>
          <w:rStyle w:val="tlid-translation"/>
        </w:rPr>
        <w:t>(</w:t>
      </w:r>
      <w:r w:rsidR="00667863">
        <w:rPr>
          <w:rStyle w:val="tlid-translation"/>
          <w:lang w:val="en-US"/>
        </w:rPr>
        <w:t>Poser</w:t>
      </w:r>
      <w:r w:rsidR="00667863" w:rsidRPr="00667863">
        <w:rPr>
          <w:rStyle w:val="tlid-translation"/>
        </w:rPr>
        <w:t>, 1985)</w:t>
      </w:r>
      <w:r>
        <w:rPr>
          <w:rStyle w:val="tlid-translation"/>
        </w:rPr>
        <w:t xml:space="preserve">. Ο όρος οδήγησε σε σύγχυση επειδή εφαρμόζεται σε διάφορες ασθένειες </w:t>
      </w:r>
      <w:r w:rsidR="00667863">
        <w:rPr>
          <w:rStyle w:val="tlid-translation"/>
        </w:rPr>
        <w:t>που προσβάλουν την λευκή ύλη</w:t>
      </w:r>
      <w:r>
        <w:rPr>
          <w:rStyle w:val="tlid-translation"/>
        </w:rPr>
        <w:t xml:space="preserve">. Ορισμένες περιπτώσεις της νόσου </w:t>
      </w:r>
      <w:proofErr w:type="spellStart"/>
      <w:r>
        <w:rPr>
          <w:rStyle w:val="tlid-translation"/>
        </w:rPr>
        <w:t>Schilder</w:t>
      </w:r>
      <w:proofErr w:type="spellEnd"/>
      <w:r>
        <w:rPr>
          <w:rStyle w:val="tlid-translation"/>
        </w:rPr>
        <w:t xml:space="preserve"> αντιπροσωπεύ</w:t>
      </w:r>
      <w:r w:rsidR="00667863">
        <w:rPr>
          <w:rStyle w:val="tlid-translation"/>
        </w:rPr>
        <w:t>ονται από</w:t>
      </w:r>
      <w:r>
        <w:rPr>
          <w:rStyle w:val="tlid-translation"/>
        </w:rPr>
        <w:t xml:space="preserve"> </w:t>
      </w:r>
      <w:proofErr w:type="spellStart"/>
      <w:r>
        <w:rPr>
          <w:rStyle w:val="tlid-translation"/>
        </w:rPr>
        <w:t>αδρενολευκοδυστροφία</w:t>
      </w:r>
      <w:proofErr w:type="spellEnd"/>
      <w:r w:rsidR="00667863">
        <w:rPr>
          <w:rStyle w:val="tlid-translation"/>
        </w:rPr>
        <w:t xml:space="preserve"> (</w:t>
      </w:r>
      <w:proofErr w:type="spellStart"/>
      <w:r w:rsidR="00667863" w:rsidRPr="00667863">
        <w:t>adrenoleukodystrophy</w:t>
      </w:r>
      <w:proofErr w:type="spellEnd"/>
      <w:r w:rsidR="00667863">
        <w:t>)</w:t>
      </w:r>
      <w:r>
        <w:rPr>
          <w:rStyle w:val="tlid-translation"/>
        </w:rPr>
        <w:t xml:space="preserve">, οξεία </w:t>
      </w:r>
      <w:proofErr w:type="spellStart"/>
      <w:r>
        <w:rPr>
          <w:rStyle w:val="tlid-translation"/>
        </w:rPr>
        <w:t>εγκεφαλομυελίτιδα</w:t>
      </w:r>
      <w:proofErr w:type="spellEnd"/>
      <w:r>
        <w:rPr>
          <w:rStyle w:val="tlid-translation"/>
        </w:rPr>
        <w:t xml:space="preserve"> (</w:t>
      </w:r>
      <w:proofErr w:type="spellStart"/>
      <w:r w:rsidR="00667863" w:rsidRPr="00667863">
        <w:t>acute</w:t>
      </w:r>
      <w:proofErr w:type="spellEnd"/>
      <w:r w:rsidR="00667863" w:rsidRPr="00667863">
        <w:t xml:space="preserve"> </w:t>
      </w:r>
      <w:proofErr w:type="spellStart"/>
      <w:r w:rsidR="00667863" w:rsidRPr="00667863">
        <w:t>disseminated</w:t>
      </w:r>
      <w:proofErr w:type="spellEnd"/>
      <w:r w:rsidR="00667863" w:rsidRPr="00667863">
        <w:t xml:space="preserve"> </w:t>
      </w:r>
      <w:proofErr w:type="spellStart"/>
      <w:r w:rsidR="00667863" w:rsidRPr="00667863">
        <w:t>encephalomyelitis</w:t>
      </w:r>
      <w:proofErr w:type="spellEnd"/>
      <w:r w:rsidR="00667863">
        <w:t xml:space="preserve">- </w:t>
      </w:r>
      <w:r>
        <w:rPr>
          <w:rStyle w:val="tlid-translation"/>
        </w:rPr>
        <w:t xml:space="preserve">ADEM) ή «μεταβατικές» περιπτώσεις μεταξύ </w:t>
      </w:r>
      <w:proofErr w:type="spellStart"/>
      <w:r>
        <w:rPr>
          <w:rStyle w:val="tlid-translation"/>
        </w:rPr>
        <w:t>μυελινοκλαστικής</w:t>
      </w:r>
      <w:proofErr w:type="spellEnd"/>
      <w:r>
        <w:rPr>
          <w:rStyle w:val="tlid-translation"/>
        </w:rPr>
        <w:t xml:space="preserve"> διάχυτης σκλήρυνσης (</w:t>
      </w:r>
      <w:proofErr w:type="spellStart"/>
      <w:r w:rsidR="00667863" w:rsidRPr="00667863">
        <w:t>myelinoclastic</w:t>
      </w:r>
      <w:proofErr w:type="spellEnd"/>
      <w:r w:rsidR="00667863" w:rsidRPr="00667863">
        <w:t xml:space="preserve"> </w:t>
      </w:r>
      <w:proofErr w:type="spellStart"/>
      <w:r w:rsidR="00667863" w:rsidRPr="00667863">
        <w:t>diffuse</w:t>
      </w:r>
      <w:proofErr w:type="spellEnd"/>
      <w:r w:rsidR="00667863" w:rsidRPr="00667863">
        <w:t xml:space="preserve"> </w:t>
      </w:r>
      <w:proofErr w:type="spellStart"/>
      <w:r w:rsidR="00667863" w:rsidRPr="00667863">
        <w:t>sclerosis</w:t>
      </w:r>
      <w:proofErr w:type="spellEnd"/>
      <w:r w:rsidR="00667863">
        <w:t xml:space="preserve">- </w:t>
      </w:r>
      <w:r>
        <w:rPr>
          <w:rStyle w:val="tlid-translation"/>
        </w:rPr>
        <w:t>MDS) και σκλήρυνσης κατά πλάκας (</w:t>
      </w:r>
      <w:proofErr w:type="spellStart"/>
      <w:r w:rsidR="00667863" w:rsidRPr="00667863">
        <w:t>multiple</w:t>
      </w:r>
      <w:proofErr w:type="spellEnd"/>
      <w:r w:rsidR="00667863" w:rsidRPr="00667863">
        <w:t xml:space="preserve"> </w:t>
      </w:r>
      <w:proofErr w:type="spellStart"/>
      <w:r w:rsidR="00667863" w:rsidRPr="00667863">
        <w:t>sclerosis</w:t>
      </w:r>
      <w:proofErr w:type="spellEnd"/>
      <w:r w:rsidR="00667863">
        <w:t xml:space="preserve">- </w:t>
      </w:r>
      <w:r>
        <w:rPr>
          <w:rStyle w:val="tlid-translation"/>
        </w:rPr>
        <w:t xml:space="preserve">MS) </w:t>
      </w:r>
      <w:r w:rsidR="00667863">
        <w:rPr>
          <w:rStyle w:val="tlid-translation"/>
        </w:rPr>
        <w:t>(</w:t>
      </w:r>
      <w:r w:rsidR="00667863">
        <w:rPr>
          <w:rStyle w:val="tlid-translation"/>
          <w:lang w:val="en-US"/>
        </w:rPr>
        <w:t>Poser</w:t>
      </w:r>
      <w:r w:rsidR="00667863" w:rsidRPr="00667863">
        <w:rPr>
          <w:rStyle w:val="tlid-translation"/>
        </w:rPr>
        <w:t>, 1986)</w:t>
      </w:r>
      <w:r>
        <w:rPr>
          <w:rStyle w:val="tlid-translation"/>
        </w:rPr>
        <w:t xml:space="preserve">. Άλλοι </w:t>
      </w:r>
      <w:r w:rsidR="00667863">
        <w:rPr>
          <w:rStyle w:val="tlid-translation"/>
        </w:rPr>
        <w:t>μελετητές</w:t>
      </w:r>
      <w:r>
        <w:rPr>
          <w:rStyle w:val="tlid-translation"/>
        </w:rPr>
        <w:t xml:space="preserve"> πιστεύουν ότι </w:t>
      </w:r>
      <w:r w:rsidR="00667863">
        <w:rPr>
          <w:rStyle w:val="tlid-translation"/>
        </w:rPr>
        <w:t xml:space="preserve">η </w:t>
      </w:r>
      <w:proofErr w:type="spellStart"/>
      <w:r w:rsidR="00667863">
        <w:rPr>
          <w:rStyle w:val="tlid-translation"/>
        </w:rPr>
        <w:t>μυελινοκλαστική</w:t>
      </w:r>
      <w:proofErr w:type="spellEnd"/>
      <w:r w:rsidR="00667863">
        <w:rPr>
          <w:rStyle w:val="tlid-translation"/>
        </w:rPr>
        <w:t xml:space="preserve"> διάχυτη σκλήρυνση </w:t>
      </w:r>
      <w:r>
        <w:rPr>
          <w:rStyle w:val="tlid-translation"/>
        </w:rPr>
        <w:t xml:space="preserve">αντιπροσωπεύει μια σπάνια τοπογραφική και επιθετική παραλλαγή στο φάσμα της </w:t>
      </w:r>
      <w:r w:rsidR="00667863">
        <w:rPr>
          <w:rStyle w:val="tlid-translation"/>
        </w:rPr>
        <w:t>πολλαπλής σκλήρυνσης</w:t>
      </w:r>
      <w:r>
        <w:rPr>
          <w:rStyle w:val="tlid-translation"/>
        </w:rPr>
        <w:t xml:space="preserve"> </w:t>
      </w:r>
      <w:r w:rsidR="001460E0" w:rsidRPr="001460E0">
        <w:rPr>
          <w:rStyle w:val="tlid-translation"/>
        </w:rPr>
        <w:t>(</w:t>
      </w:r>
      <w:r w:rsidR="001460E0">
        <w:rPr>
          <w:rStyle w:val="tlid-translation"/>
          <w:lang w:val="en-US"/>
        </w:rPr>
        <w:t>Hainfellner</w:t>
      </w:r>
      <w:r w:rsidR="001460E0" w:rsidRPr="001460E0">
        <w:rPr>
          <w:rStyle w:val="tlid-translation"/>
        </w:rPr>
        <w:t xml:space="preserve">, </w:t>
      </w:r>
      <w:r w:rsidR="001460E0">
        <w:rPr>
          <w:rStyle w:val="tlid-translation"/>
          <w:lang w:val="en-US"/>
        </w:rPr>
        <w:t>Schmidbauer</w:t>
      </w:r>
      <w:r w:rsidR="001460E0" w:rsidRPr="001460E0">
        <w:rPr>
          <w:rStyle w:val="tlid-translation"/>
        </w:rPr>
        <w:t xml:space="preserve">, </w:t>
      </w:r>
      <w:r w:rsidR="001460E0">
        <w:rPr>
          <w:rStyle w:val="tlid-translation"/>
          <w:lang w:val="en-US"/>
        </w:rPr>
        <w:t>Scmutzhard</w:t>
      </w:r>
      <w:r w:rsidR="001460E0" w:rsidRPr="001460E0">
        <w:rPr>
          <w:rStyle w:val="tlid-translation"/>
        </w:rPr>
        <w:t xml:space="preserve">, </w:t>
      </w:r>
      <w:r w:rsidR="001460E0">
        <w:rPr>
          <w:rStyle w:val="tlid-translation"/>
          <w:lang w:val="en-US"/>
        </w:rPr>
        <w:t>Maier</w:t>
      </w:r>
      <w:r w:rsidR="001460E0" w:rsidRPr="001460E0">
        <w:rPr>
          <w:rStyle w:val="tlid-translation"/>
        </w:rPr>
        <w:t xml:space="preserve"> &amp; </w:t>
      </w:r>
      <w:r w:rsidR="001460E0">
        <w:rPr>
          <w:rStyle w:val="tlid-translation"/>
          <w:lang w:val="en-US"/>
        </w:rPr>
        <w:t>Budka</w:t>
      </w:r>
      <w:r w:rsidR="001460E0" w:rsidRPr="001460E0">
        <w:rPr>
          <w:rStyle w:val="tlid-translation"/>
        </w:rPr>
        <w:t>, 1992)</w:t>
      </w:r>
      <w:r w:rsidR="007C0EF2" w:rsidRPr="007C0EF2">
        <w:rPr>
          <w:rStyle w:val="tlid-translation"/>
        </w:rPr>
        <w:t>.</w:t>
      </w:r>
    </w:p>
    <w:p w:rsidR="007C0EF2" w:rsidRPr="00DC19FA" w:rsidRDefault="007C0EF2" w:rsidP="000001B4">
      <w:pPr>
        <w:rPr>
          <w:lang w:eastAsia="el-GR"/>
        </w:rPr>
      </w:pPr>
      <w:r>
        <w:rPr>
          <w:rStyle w:val="tlid-translation"/>
        </w:rPr>
        <w:t xml:space="preserve">Η συγκεντρική σκλήρυνση του </w:t>
      </w:r>
      <w:proofErr w:type="spellStart"/>
      <w:r>
        <w:rPr>
          <w:rStyle w:val="tlid-translation"/>
        </w:rPr>
        <w:t>Balo</w:t>
      </w:r>
      <w:proofErr w:type="spellEnd"/>
      <w:r>
        <w:rPr>
          <w:rStyle w:val="tlid-translation"/>
        </w:rPr>
        <w:t xml:space="preserve"> (BCS) είναι μια σπάνια </w:t>
      </w:r>
      <w:proofErr w:type="spellStart"/>
      <w:r>
        <w:rPr>
          <w:rStyle w:val="tlid-translation"/>
        </w:rPr>
        <w:t>απομυελινωτική</w:t>
      </w:r>
      <w:proofErr w:type="spellEnd"/>
      <w:r>
        <w:rPr>
          <w:rStyle w:val="tlid-translation"/>
        </w:rPr>
        <w:t xml:space="preserve"> ασθένεια που </w:t>
      </w:r>
      <w:proofErr w:type="spellStart"/>
      <w:r>
        <w:rPr>
          <w:rStyle w:val="tlid-translation"/>
        </w:rPr>
        <w:t>περιγράφηκε</w:t>
      </w:r>
      <w:proofErr w:type="spellEnd"/>
      <w:r>
        <w:rPr>
          <w:rStyle w:val="tlid-translation"/>
        </w:rPr>
        <w:t xml:space="preserve"> για πρώτη φορά από τον ουγγρικό </w:t>
      </w:r>
      <w:proofErr w:type="spellStart"/>
      <w:r>
        <w:rPr>
          <w:rStyle w:val="tlid-translation"/>
        </w:rPr>
        <w:t>νευροπαθολόγο</w:t>
      </w:r>
      <w:proofErr w:type="spellEnd"/>
      <w:r>
        <w:rPr>
          <w:rStyle w:val="tlid-translation"/>
        </w:rPr>
        <w:t xml:space="preserve"> </w:t>
      </w:r>
      <w:proofErr w:type="spellStart"/>
      <w:r>
        <w:rPr>
          <w:rStyle w:val="tlid-translation"/>
        </w:rPr>
        <w:t>Josef</w:t>
      </w:r>
      <w:proofErr w:type="spellEnd"/>
      <w:r>
        <w:rPr>
          <w:rStyle w:val="tlid-translation"/>
        </w:rPr>
        <w:t xml:space="preserve"> </w:t>
      </w:r>
      <w:proofErr w:type="spellStart"/>
      <w:r>
        <w:rPr>
          <w:rStyle w:val="tlid-translation"/>
        </w:rPr>
        <w:t>Balo</w:t>
      </w:r>
      <w:proofErr w:type="spellEnd"/>
      <w:r>
        <w:rPr>
          <w:rStyle w:val="tlid-translation"/>
        </w:rPr>
        <w:t xml:space="preserve"> το 1928. Η αρχική ορολογία αυτής της οντότητας ήταν «</w:t>
      </w:r>
      <w:proofErr w:type="spellStart"/>
      <w:r>
        <w:rPr>
          <w:rStyle w:val="tlid-translation"/>
        </w:rPr>
        <w:t>λευκο</w:t>
      </w:r>
      <w:proofErr w:type="spellEnd"/>
      <w:r>
        <w:rPr>
          <w:rStyle w:val="tlid-translation"/>
        </w:rPr>
        <w:t xml:space="preserve">-εγκεφαλίτιδα </w:t>
      </w:r>
      <w:proofErr w:type="spellStart"/>
      <w:r>
        <w:rPr>
          <w:rStyle w:val="tlid-translation"/>
        </w:rPr>
        <w:t>periaxialiscentrica</w:t>
      </w:r>
      <w:proofErr w:type="spellEnd"/>
      <w:r>
        <w:rPr>
          <w:rStyle w:val="tlid-translation"/>
        </w:rPr>
        <w:t>», η οποία προήλθε από τον ορισμό της ως «ασθένεια που καταστρέφει τη λευκή ύλη του εγκεφάλου σε ομόκεντρα στρώματα αφήν</w:t>
      </w:r>
      <w:r w:rsidR="00DF1DAB">
        <w:rPr>
          <w:rStyle w:val="tlid-translation"/>
        </w:rPr>
        <w:t>οντας άθικτο τον κύλινδρο άξονα» (</w:t>
      </w:r>
      <w:r w:rsidR="00DF1DAB">
        <w:rPr>
          <w:rStyle w:val="tlid-translation"/>
          <w:lang w:val="en-US"/>
        </w:rPr>
        <w:t>Balo</w:t>
      </w:r>
      <w:r w:rsidR="00DF1DAB" w:rsidRPr="00DF1DAB">
        <w:rPr>
          <w:rStyle w:val="tlid-translation"/>
        </w:rPr>
        <w:t>, 1928)</w:t>
      </w:r>
      <w:r>
        <w:rPr>
          <w:rStyle w:val="tlid-translation"/>
        </w:rPr>
        <w:t xml:space="preserve">. Παραδοσιακά, η κλινική πορεία </w:t>
      </w:r>
      <w:r w:rsidR="00DF1DAB">
        <w:rPr>
          <w:rStyle w:val="tlid-translation"/>
        </w:rPr>
        <w:t>της</w:t>
      </w:r>
      <w:r>
        <w:rPr>
          <w:rStyle w:val="tlid-translation"/>
        </w:rPr>
        <w:t xml:space="preserve"> BCS θεωρήθηκε παρόμοια με την παραλλαγή της σκλήρυνσης κατά πλάκας του </w:t>
      </w:r>
      <w:proofErr w:type="spellStart"/>
      <w:r>
        <w:rPr>
          <w:rStyle w:val="tlid-translation"/>
        </w:rPr>
        <w:t>Schilder</w:t>
      </w:r>
      <w:proofErr w:type="spellEnd"/>
      <w:r>
        <w:rPr>
          <w:rStyle w:val="tlid-translation"/>
        </w:rPr>
        <w:t xml:space="preserve"> ή του </w:t>
      </w:r>
      <w:proofErr w:type="spellStart"/>
      <w:r>
        <w:rPr>
          <w:rStyle w:val="tlid-translation"/>
        </w:rPr>
        <w:t>Marburg</w:t>
      </w:r>
      <w:proofErr w:type="spellEnd"/>
      <w:r>
        <w:rPr>
          <w:rStyle w:val="tlid-translation"/>
        </w:rPr>
        <w:t xml:space="preserve"> (MS), η οποία εμφανίζει επιφανειακή πρόοδο, συχνά με μοιραίο αποτέλεσμα. Ωστόσο, η πρόσφατη βιβλιογραφία αναφέρει ότι </w:t>
      </w:r>
      <w:r w:rsidR="00DF1DAB">
        <w:rPr>
          <w:rStyle w:val="tlid-translation"/>
        </w:rPr>
        <w:t>η</w:t>
      </w:r>
      <w:r>
        <w:rPr>
          <w:rStyle w:val="tlid-translation"/>
        </w:rPr>
        <w:t xml:space="preserve"> BCS ακολουθεί συχνά μια καλοήθη πορεία με παρατεταμένη επιβίωση. Επίσης, οι βλάβες που μοιάζουν με </w:t>
      </w:r>
      <w:r w:rsidR="00DF1DAB">
        <w:rPr>
          <w:rStyle w:val="tlid-translation"/>
        </w:rPr>
        <w:t>την BCS και την πολλαπλή σκλήρυνση</w:t>
      </w:r>
      <w:r>
        <w:rPr>
          <w:rStyle w:val="tlid-translation"/>
        </w:rPr>
        <w:t xml:space="preserve"> αυξάνονται -αναφέρεται ότι συμβαίνουν ταυτόχρονα, υποδηλώνοντας ότι μπορεί να αντιπροσωπεύουν ένα συνεχές της ίδιας διαδικασίας της νόσου </w:t>
      </w:r>
      <w:r w:rsidR="00DF1DAB" w:rsidRPr="00DF1DAB">
        <w:rPr>
          <w:rStyle w:val="tlid-translation"/>
        </w:rPr>
        <w:t>(</w:t>
      </w:r>
      <w:r w:rsidR="00DF1DAB" w:rsidRPr="00DF1DAB">
        <w:rPr>
          <w:lang w:val="en-US" w:eastAsia="el-GR"/>
        </w:rPr>
        <w:t>Wallner</w:t>
      </w:r>
      <w:r w:rsidR="00DF1DAB" w:rsidRPr="00DF1DAB">
        <w:rPr>
          <w:lang w:eastAsia="el-GR"/>
        </w:rPr>
        <w:t>-</w:t>
      </w:r>
      <w:r w:rsidR="00DF1DAB" w:rsidRPr="00DF1DAB">
        <w:rPr>
          <w:lang w:val="en-US" w:eastAsia="el-GR"/>
        </w:rPr>
        <w:t>Blazek</w:t>
      </w:r>
      <w:r w:rsidR="00DF1DAB" w:rsidRPr="00DF1DAB">
        <w:rPr>
          <w:lang w:eastAsia="el-GR"/>
        </w:rPr>
        <w:t xml:space="preserve">, </w:t>
      </w:r>
      <w:r w:rsidR="00DF1DAB" w:rsidRPr="00DF1DAB">
        <w:rPr>
          <w:lang w:val="en-US" w:eastAsia="el-GR"/>
        </w:rPr>
        <w:t>Rovira</w:t>
      </w:r>
      <w:r w:rsidR="00DF1DAB" w:rsidRPr="00DF1DAB">
        <w:rPr>
          <w:lang w:eastAsia="el-GR"/>
        </w:rPr>
        <w:t xml:space="preserve">, </w:t>
      </w:r>
      <w:r w:rsidR="00DF1DAB" w:rsidRPr="00DF1DAB">
        <w:rPr>
          <w:lang w:val="en-US" w:eastAsia="el-GR"/>
        </w:rPr>
        <w:t>Fillipp</w:t>
      </w:r>
      <w:r w:rsidR="00DF1DAB" w:rsidRPr="00DF1DAB">
        <w:rPr>
          <w:lang w:eastAsia="el-GR"/>
        </w:rPr>
        <w:t xml:space="preserve">, </w:t>
      </w:r>
      <w:r w:rsidR="00DF1DAB" w:rsidRPr="00DF1DAB">
        <w:rPr>
          <w:lang w:val="en-US" w:eastAsia="el-GR"/>
        </w:rPr>
        <w:t>et</w:t>
      </w:r>
      <w:r w:rsidR="00DF1DAB" w:rsidRPr="00DF1DAB">
        <w:rPr>
          <w:lang w:eastAsia="el-GR"/>
        </w:rPr>
        <w:t xml:space="preserve"> </w:t>
      </w:r>
      <w:r w:rsidR="00DF1DAB" w:rsidRPr="00DF1DAB">
        <w:rPr>
          <w:lang w:val="en-US" w:eastAsia="el-GR"/>
        </w:rPr>
        <w:t>al</w:t>
      </w:r>
      <w:r w:rsidR="00DF1DAB" w:rsidRPr="00DF1DAB">
        <w:rPr>
          <w:lang w:eastAsia="el-GR"/>
        </w:rPr>
        <w:t>, 2013).</w:t>
      </w:r>
    </w:p>
    <w:p w:rsidR="000E17A4" w:rsidRPr="000E17A4" w:rsidRDefault="00DC19FA" w:rsidP="000001B4">
      <w:pPr>
        <w:rPr>
          <w:rStyle w:val="tlid-translation"/>
        </w:rPr>
      </w:pPr>
      <w:r>
        <w:rPr>
          <w:lang w:eastAsia="el-GR"/>
        </w:rPr>
        <w:t xml:space="preserve">Σχετικά με τις μορφές της σκλήρυνσης κατά πλάκας οι </w:t>
      </w:r>
      <w:r>
        <w:rPr>
          <w:lang w:val="en-US" w:eastAsia="el-GR"/>
        </w:rPr>
        <w:t>Lyblin</w:t>
      </w:r>
      <w:r w:rsidRPr="00DC19FA">
        <w:rPr>
          <w:lang w:eastAsia="el-GR"/>
        </w:rPr>
        <w:t xml:space="preserve"> </w:t>
      </w:r>
      <w:r>
        <w:rPr>
          <w:lang w:eastAsia="el-GR"/>
        </w:rPr>
        <w:t xml:space="preserve">και </w:t>
      </w:r>
      <w:r>
        <w:rPr>
          <w:lang w:val="en-US" w:eastAsia="el-GR"/>
        </w:rPr>
        <w:t>Reingold</w:t>
      </w:r>
      <w:r>
        <w:rPr>
          <w:lang w:eastAsia="el-GR"/>
        </w:rPr>
        <w:t xml:space="preserve"> έχουν οδηγηθεί στα παρακάτω που σχετίζονται στην κλινική εκδήλωση της νόσου αλλά και την πορεία τους μέσω του ΚΝΣ  του ασθενούς. Μία μορφή είναι αυτή του κλινικά μεμονωμένου συνδρόμου (</w:t>
      </w:r>
      <w:r>
        <w:rPr>
          <w:lang w:val="en-US" w:eastAsia="el-GR"/>
        </w:rPr>
        <w:t>CIS</w:t>
      </w:r>
      <w:r w:rsidRPr="000E17A4">
        <w:rPr>
          <w:lang w:eastAsia="el-GR"/>
        </w:rPr>
        <w:t>).</w:t>
      </w:r>
      <w:r w:rsidR="000E17A4" w:rsidRPr="000E17A4">
        <w:rPr>
          <w:lang w:eastAsia="el-GR"/>
        </w:rPr>
        <w:t xml:space="preserve"> </w:t>
      </w:r>
      <w:r w:rsidR="000E17A4">
        <w:rPr>
          <w:rStyle w:val="tlid-translation"/>
        </w:rPr>
        <w:t xml:space="preserve">Το κλινικά απομονωμένο σύνδρομο (CIS) αναφέρεται σε μία κλινική επίθεση φλεγμονωδών </w:t>
      </w:r>
      <w:proofErr w:type="spellStart"/>
      <w:r w:rsidR="000E17A4">
        <w:rPr>
          <w:rStyle w:val="tlid-translation"/>
        </w:rPr>
        <w:t>απομυελινωτικών</w:t>
      </w:r>
      <w:proofErr w:type="spellEnd"/>
      <w:r w:rsidR="000E17A4">
        <w:rPr>
          <w:rStyle w:val="tlid-translation"/>
        </w:rPr>
        <w:t xml:space="preserve"> συμπτωμάτων του κεντρικού νευρικού συστήματος (ΚΝΣ) που υποδηλώνουν σκλήρυνση κατά πλάκας (MS). Οι παρουσιάσεις CIS μπορεί να είναι </w:t>
      </w:r>
      <w:proofErr w:type="spellStart"/>
      <w:r w:rsidR="000E17A4">
        <w:rPr>
          <w:rStyle w:val="tlid-translation"/>
        </w:rPr>
        <w:t>μονοεστιακές</w:t>
      </w:r>
      <w:proofErr w:type="spellEnd"/>
      <w:r w:rsidR="000E17A4">
        <w:rPr>
          <w:rStyle w:val="tlid-translation"/>
        </w:rPr>
        <w:t xml:space="preserve"> ή </w:t>
      </w:r>
      <w:proofErr w:type="spellStart"/>
      <w:r w:rsidR="000E17A4">
        <w:rPr>
          <w:rStyle w:val="tlid-translation"/>
        </w:rPr>
        <w:t>πολυεστιακές</w:t>
      </w:r>
      <w:proofErr w:type="spellEnd"/>
      <w:r w:rsidR="000E17A4">
        <w:rPr>
          <w:rStyle w:val="tlid-translation"/>
        </w:rPr>
        <w:t xml:space="preserve"> και συνήθως περιλαμβάνουν το οπτικό νεύρο, το εγκεφαλικό </w:t>
      </w:r>
      <w:r w:rsidR="000E17A4">
        <w:rPr>
          <w:rStyle w:val="tlid-translation"/>
        </w:rPr>
        <w:lastRenderedPageBreak/>
        <w:t xml:space="preserve">στέλεχος, την παρεγκεφαλίδα, τον νωτιαίο μυελό ή τα εγκεφαλικά ημισφαίρια. Παρόλο που η CIS μπορεί να αντιπροσωπεύει την πρώτη εκδήλωση της σκλήρυνσης κατά πλάκας (DMS), ορισμένοι ασθενείς ενδέχεται να μην αναπτύξουν δεύτερη κλινική υποτροπή. Για να χαρακτηριστεί ως CIS, το επεισόδιο θα πρέπει να διαρκέσει τουλάχιστον 24 ώρες και θα πρέπει να συμβεί απουσία πυρετού ή λοίμωξης και χωρίς κλινικά χαρακτηριστικά εγκεφαλοπάθειας </w:t>
      </w:r>
      <w:r w:rsidR="000E17A4" w:rsidRPr="000E17A4">
        <w:rPr>
          <w:rStyle w:val="tlid-translation"/>
        </w:rPr>
        <w:t>(</w:t>
      </w:r>
      <w:r w:rsidR="000E17A4" w:rsidRPr="000E17A4">
        <w:rPr>
          <w:rStyle w:val="tlid-translation"/>
          <w:lang w:val="en-US"/>
        </w:rPr>
        <w:t>Platten</w:t>
      </w:r>
      <w:r w:rsidR="000E17A4" w:rsidRPr="000E17A4">
        <w:rPr>
          <w:rStyle w:val="tlid-translation"/>
        </w:rPr>
        <w:t xml:space="preserve">, </w:t>
      </w:r>
      <w:r w:rsidR="000E17A4">
        <w:rPr>
          <w:rStyle w:val="tlid-translation"/>
          <w:lang w:val="en-US"/>
        </w:rPr>
        <w:t>Lanz</w:t>
      </w:r>
      <w:r w:rsidR="000E17A4" w:rsidRPr="000E17A4">
        <w:rPr>
          <w:rStyle w:val="tlid-translation"/>
        </w:rPr>
        <w:t xml:space="preserve">, </w:t>
      </w:r>
      <w:r w:rsidR="000E17A4">
        <w:rPr>
          <w:rStyle w:val="tlid-translation"/>
          <w:lang w:val="en-US"/>
        </w:rPr>
        <w:t>Bendszus</w:t>
      </w:r>
      <w:r w:rsidR="000E17A4" w:rsidRPr="000E17A4">
        <w:rPr>
          <w:rStyle w:val="tlid-translation"/>
        </w:rPr>
        <w:t xml:space="preserve"> &amp; </w:t>
      </w:r>
      <w:r w:rsidR="000E17A4">
        <w:rPr>
          <w:rStyle w:val="tlid-translation"/>
          <w:lang w:val="en-US"/>
        </w:rPr>
        <w:t>Diem</w:t>
      </w:r>
      <w:r w:rsidR="000E17A4" w:rsidRPr="000E17A4">
        <w:rPr>
          <w:rStyle w:val="tlid-translation"/>
        </w:rPr>
        <w:t>, 2013)</w:t>
      </w:r>
    </w:p>
    <w:p w:rsidR="00DC19FA" w:rsidRPr="000E17A4" w:rsidRDefault="000E17A4" w:rsidP="000001B4">
      <w:pPr>
        <w:rPr>
          <w:lang w:eastAsia="el-GR"/>
        </w:rPr>
      </w:pPr>
      <w:r>
        <w:rPr>
          <w:rStyle w:val="tlid-translation"/>
        </w:rPr>
        <w:t xml:space="preserve">Η πορεία της σκλήρυνσης κατά πλάκας μετά από CIS είναι μεταβλητή: μετά από 15-20 χρόνια, το ένα τρίτο των ασθενών έχει καλοήθη πορεία με ελάχιστη ή καθόλου αναπηρία, ενώ οι μισοί θα αναπτύξουν δευτερογενή προοδευτική σκλήρυνση κατά πλάκας με αυξανόμενη αναπηρία. Οι τρέχουσες προβλέψεις της μακροχρόνιας πορείας κατά την έναρξη της νόσου είναι αναξιόπιστες </w:t>
      </w:r>
      <w:r w:rsidR="001B1038" w:rsidRPr="001B1038">
        <w:rPr>
          <w:rStyle w:val="tlid-translation"/>
        </w:rPr>
        <w:t>(</w:t>
      </w:r>
      <w:r w:rsidR="001B1038">
        <w:rPr>
          <w:rStyle w:val="tlid-translation"/>
          <w:lang w:val="en-US"/>
        </w:rPr>
        <w:t>Miller</w:t>
      </w:r>
      <w:r w:rsidR="001B1038" w:rsidRPr="001B1038">
        <w:rPr>
          <w:rStyle w:val="tlid-translation"/>
        </w:rPr>
        <w:t xml:space="preserve">, </w:t>
      </w:r>
      <w:r w:rsidR="001B1038">
        <w:rPr>
          <w:rStyle w:val="tlid-translation"/>
          <w:lang w:val="en-US"/>
        </w:rPr>
        <w:t>Chard</w:t>
      </w:r>
      <w:r w:rsidR="001B1038" w:rsidRPr="001B1038">
        <w:rPr>
          <w:rStyle w:val="tlid-translation"/>
        </w:rPr>
        <w:t xml:space="preserve"> &amp; </w:t>
      </w:r>
      <w:r w:rsidR="001B1038">
        <w:rPr>
          <w:rStyle w:val="tlid-translation"/>
          <w:lang w:val="en-US"/>
        </w:rPr>
        <w:t>Ciccarelli</w:t>
      </w:r>
      <w:r w:rsidR="001B1038" w:rsidRPr="001B1038">
        <w:rPr>
          <w:rStyle w:val="tlid-translation"/>
        </w:rPr>
        <w:t xml:space="preserve">, 2012). </w:t>
      </w:r>
      <w:r>
        <w:rPr>
          <w:rStyle w:val="tlid-translation"/>
        </w:rPr>
        <w:t xml:space="preserve">Η έναρξη της ΣΚΠ στο 85% των νεαρών ενηλίκων (ηλικίας 20-45 ετών) είναι με </w:t>
      </w:r>
      <w:proofErr w:type="spellStart"/>
      <w:r>
        <w:rPr>
          <w:rStyle w:val="tlid-translation"/>
        </w:rPr>
        <w:t>υποξεία</w:t>
      </w:r>
      <w:proofErr w:type="spellEnd"/>
      <w:r>
        <w:rPr>
          <w:rStyle w:val="tlid-translation"/>
        </w:rPr>
        <w:t xml:space="preserve"> CIS των οπτικών νεύρων, του εγκεφάλου ή του νωτιαίου μυελού. Ενώ υπάρχουν </w:t>
      </w:r>
      <w:proofErr w:type="spellStart"/>
      <w:r>
        <w:rPr>
          <w:rStyle w:val="tlid-translation"/>
        </w:rPr>
        <w:t>πολυεστιακές</w:t>
      </w:r>
      <w:proofErr w:type="spellEnd"/>
      <w:r>
        <w:rPr>
          <w:rStyle w:val="tlid-translation"/>
        </w:rPr>
        <w:t xml:space="preserve"> εγκεφαλικές βλάβες σε απεικόνιση μαγνητικού συντονισμού (MRI) σε πολλούς ασθενείς με CIS, ορισμένοι ασθενείς έχουν επιπλέον ανωμαλίες στην ποσοτική μαγνητική τομογραφία σε κατά τα άλλα φυσιολογικά εμφανιζόμενη λευκή και γκρίζα ύλη, γεγονός που υποδηλώνει μια εκτεταμένη παθολογική διαδικασία</w:t>
      </w:r>
      <w:r w:rsidR="008E04C4" w:rsidRPr="008E04C4">
        <w:rPr>
          <w:rStyle w:val="tlid-translation"/>
        </w:rPr>
        <w:t xml:space="preserve"> (</w:t>
      </w:r>
      <w:r w:rsidR="008E04C4">
        <w:rPr>
          <w:rStyle w:val="tlid-translation"/>
          <w:lang w:val="en-US"/>
        </w:rPr>
        <w:t>Miller</w:t>
      </w:r>
      <w:r w:rsidR="008E04C4" w:rsidRPr="008E04C4">
        <w:rPr>
          <w:rStyle w:val="tlid-translation"/>
        </w:rPr>
        <w:t xml:space="preserve">, </w:t>
      </w:r>
      <w:r w:rsidR="008E04C4">
        <w:rPr>
          <w:rStyle w:val="tlid-translation"/>
          <w:lang w:val="en-US"/>
        </w:rPr>
        <w:t>Barkhof</w:t>
      </w:r>
      <w:r w:rsidR="008E04C4" w:rsidRPr="008E04C4">
        <w:rPr>
          <w:rStyle w:val="tlid-translation"/>
        </w:rPr>
        <w:t xml:space="preserve">, </w:t>
      </w:r>
      <w:r w:rsidR="008E04C4">
        <w:rPr>
          <w:rStyle w:val="tlid-translation"/>
          <w:lang w:val="en-US"/>
        </w:rPr>
        <w:t>Montalban</w:t>
      </w:r>
      <w:r w:rsidR="008E04C4" w:rsidRPr="008E04C4">
        <w:rPr>
          <w:rStyle w:val="tlid-translation"/>
        </w:rPr>
        <w:t xml:space="preserve">, </w:t>
      </w:r>
      <w:r w:rsidR="008E04C4">
        <w:rPr>
          <w:rStyle w:val="tlid-translation"/>
          <w:lang w:val="en-US"/>
        </w:rPr>
        <w:t>Thompson</w:t>
      </w:r>
      <w:r w:rsidR="008E04C4" w:rsidRPr="008E04C4">
        <w:rPr>
          <w:rStyle w:val="tlid-translation"/>
        </w:rPr>
        <w:t xml:space="preserve"> &amp; </w:t>
      </w:r>
      <w:r w:rsidR="008E04C4">
        <w:rPr>
          <w:rStyle w:val="tlid-translation"/>
          <w:lang w:val="en-US"/>
        </w:rPr>
        <w:t>Filippi</w:t>
      </w:r>
      <w:r w:rsidR="008E04C4" w:rsidRPr="008E04C4">
        <w:rPr>
          <w:rStyle w:val="tlid-translation"/>
        </w:rPr>
        <w:t>, 2005).</w:t>
      </w:r>
      <w:r>
        <w:rPr>
          <w:rStyle w:val="tlid-translation"/>
        </w:rPr>
        <w:t xml:space="preserve"> Αν και οι ασθενείς συνήθως αναρρώνουν από το επεισόδιο που παρουσιάζουν, η CIS είναι συχνά η πρώτη εκδήλωση της ΣΚΠ. Μια ανασκόπηση μιας μεγάλης βάσης δεδομένων ασθενών με CIS διαπίστωσε ότι το 21% εμφάνισε οπτική νευρίτιδα, 46% με σημεία και συμπτώματα μακράς οδού, 10% με σύνδρομο εγκεφάλου και 23% με </w:t>
      </w:r>
      <w:proofErr w:type="spellStart"/>
      <w:r>
        <w:rPr>
          <w:rStyle w:val="tlid-translation"/>
        </w:rPr>
        <w:t>πολυεστιακές</w:t>
      </w:r>
      <w:proofErr w:type="spellEnd"/>
      <w:r>
        <w:rPr>
          <w:rStyle w:val="tlid-translation"/>
        </w:rPr>
        <w:t xml:space="preserve"> ανωμαλίες. Επομένως, το σύνδρομο απομονώθηκε στο διάστημα μόνο στο 77% των παρουσιάσεων, αν και όλες οι παρουσιάσεις απομονώθηκαν εγκαίρως. </w:t>
      </w:r>
    </w:p>
    <w:p w:rsidR="000E17A4" w:rsidRDefault="009D450D" w:rsidP="000001B4">
      <w:pPr>
        <w:rPr>
          <w:rStyle w:val="tlid-translation"/>
        </w:rPr>
      </w:pPr>
      <w:r>
        <w:rPr>
          <w:rStyle w:val="tlid-translation"/>
        </w:rPr>
        <w:t xml:space="preserve">Μία άλλη μορφή της σκλήρυνσης κατά πλάκας είναι και η υποτροπιάζουσα διαλείπουσα πολλαπλή σκλήρυνση </w:t>
      </w:r>
      <w:r w:rsidRPr="009D450D">
        <w:rPr>
          <w:rStyle w:val="tlid-translation"/>
        </w:rPr>
        <w:t>(</w:t>
      </w:r>
      <w:r>
        <w:rPr>
          <w:rStyle w:val="tlid-translation"/>
          <w:lang w:val="en-US"/>
        </w:rPr>
        <w:t>R</w:t>
      </w:r>
      <w:r>
        <w:rPr>
          <w:rStyle w:val="tlid-translation"/>
        </w:rPr>
        <w:t>RMS</w:t>
      </w:r>
      <w:r w:rsidRPr="009D450D">
        <w:rPr>
          <w:rStyle w:val="tlid-translation"/>
        </w:rPr>
        <w:t xml:space="preserve">). </w:t>
      </w:r>
      <w:r>
        <w:rPr>
          <w:rStyle w:val="tlid-translation"/>
        </w:rPr>
        <w:t xml:space="preserve">Θεωρείται η πιο κοινή πορεία της νόσου. Χαρακτηρίζεται από σαφώς καθορισμένες επιθέσεις νέων ή αυξανόμενων νευρολογικών συμπτωμάτων. Αυτές οι επιθέσεις - που ονομάζονται επίσης υποτροπές ή παροξύνσεις - ακολουθούνται από περιόδους μερικής ή ολικής ανάκαμψης (υποχωρήσεις). Κατά τη διάρκεια της ύφεσης, όλα τα συμπτώματα μπορεί να εξαφανιστούν ή ορισμένα συμπτώματα μπορεί να συνεχιστούν και να γίνουν μόνιμα. Ωστόσο, δεν υπάρχει εμφανής πρόοδος της νόσου κατά τις περιόδους ύφεσης. Η RRMS μπορεί περαιτέρω να χαρακτηριστεί είτε ενεργή (με υποτροπές ή / και ενδείξεις νέας δραστηριότητας μαγνητικής τομογραφίας για μια καθορισμένη χρονική περίοδο) ή ως μη ενεργή, καθώς και επιδείνωση (επιβεβαιωμένη αύξηση της αναπηρίας μετά από υποτροπή) ή όχι επιδείνωση. Περίπου το 85% των ατόμων με σκλήρυνση κατά πλάκας </w:t>
      </w:r>
      <w:r>
        <w:rPr>
          <w:rStyle w:val="tlid-translation"/>
        </w:rPr>
        <w:lastRenderedPageBreak/>
        <w:t>αρχικά διαγιγνώσκονται με RRMS (</w:t>
      </w:r>
      <w:proofErr w:type="spellStart"/>
      <w:r>
        <w:rPr>
          <w:rStyle w:val="tlid-translation"/>
        </w:rPr>
        <w:t>Τσούγγου</w:t>
      </w:r>
      <w:proofErr w:type="spellEnd"/>
      <w:r>
        <w:rPr>
          <w:rStyle w:val="tlid-translation"/>
        </w:rPr>
        <w:t xml:space="preserve"> κ. συν., 2016). Επίσης και η μορφή της δευτεροπαθούς προϊούσας πολλαπλής σκλήρυνσης (</w:t>
      </w:r>
      <w:r>
        <w:rPr>
          <w:rStyle w:val="tlid-translation"/>
          <w:lang w:val="en-US"/>
        </w:rPr>
        <w:t>SPMS</w:t>
      </w:r>
      <w:r w:rsidRPr="009D450D">
        <w:rPr>
          <w:rStyle w:val="tlid-translation"/>
        </w:rPr>
        <w:t xml:space="preserve">) </w:t>
      </w:r>
      <w:r>
        <w:rPr>
          <w:rStyle w:val="tlid-translation"/>
        </w:rPr>
        <w:t xml:space="preserve">παρουσιάζει εξάρσεις και υφέσεις έως ότου ο ασθενής να οδηγηθεί σε μία διαρκή φθίνουσα πορεία της νόσου και των χαρακτηριστικών της </w:t>
      </w:r>
      <w:r w:rsidRPr="009D450D">
        <w:rPr>
          <w:rStyle w:val="tlid-translation"/>
        </w:rPr>
        <w:t>(</w:t>
      </w:r>
      <w:proofErr w:type="spellStart"/>
      <w:r>
        <w:rPr>
          <w:rStyle w:val="tlid-translation"/>
        </w:rPr>
        <w:t>Τσούγγου</w:t>
      </w:r>
      <w:proofErr w:type="spellEnd"/>
      <w:r>
        <w:rPr>
          <w:rStyle w:val="tlid-translation"/>
        </w:rPr>
        <w:t xml:space="preserve"> κ. συν., 2016). Η πρωτοπαθής προϊούσα πολλαπλή σκλήρυνση είναι μία επιπλέον μορφή που παρουσιάζεται σπανιότερα συγκριτικά με άλλες μορφές της νόσου. Στην πρωτοπαθή προϊούσα πολλαπλή σκλήρυνση ο ασθενής παρουσιάζει έντονα νευρολογικά συμπτώματα χωρίς εξάρσεις με το αρσενικό φύλο να βάλετε συχνότερα μετά τα 40 τους χρόνια. Τέλος, η μορφή της προϊούσας υποτροπιάζουσας πολλαπλής σκλήρυνσης (</w:t>
      </w:r>
      <w:r>
        <w:rPr>
          <w:rStyle w:val="tlid-translation"/>
          <w:lang w:val="en-US"/>
        </w:rPr>
        <w:t>PRMS</w:t>
      </w:r>
      <w:r w:rsidRPr="009D450D">
        <w:rPr>
          <w:rStyle w:val="tlid-translation"/>
        </w:rPr>
        <w:t>)</w:t>
      </w:r>
      <w:r>
        <w:rPr>
          <w:rStyle w:val="tlid-translation"/>
        </w:rPr>
        <w:t xml:space="preserve"> που είναι ακόμη πιο σπάνια στις καταγραφές στο σύνολο του πληθυσμού καταγράφει </w:t>
      </w:r>
      <w:r w:rsidR="00FA7284">
        <w:rPr>
          <w:rStyle w:val="tlid-translation"/>
        </w:rPr>
        <w:t>επεισόδια</w:t>
      </w:r>
      <w:r>
        <w:rPr>
          <w:rStyle w:val="tlid-translation"/>
        </w:rPr>
        <w:t xml:space="preserve"> στους ασθενείς που ενώ αναφέρουν προοδευτική πορεία της νόσου, παρουσιάζουν σπανιότερα και εξάρσεις. Παρατηρείται συνηθέστερα σε ασθενείς που βίωσαν την νόσο για πρώτη φορά μετά τα 40 ή ακόμη και 50 έτη ηλικίας τους (</w:t>
      </w:r>
      <w:proofErr w:type="spellStart"/>
      <w:r>
        <w:rPr>
          <w:rStyle w:val="tlid-translation"/>
        </w:rPr>
        <w:t>Τσούγγου</w:t>
      </w:r>
      <w:proofErr w:type="spellEnd"/>
      <w:r>
        <w:rPr>
          <w:rStyle w:val="tlid-translation"/>
        </w:rPr>
        <w:t xml:space="preserve"> κ. συν., 2016).</w:t>
      </w:r>
    </w:p>
    <w:p w:rsidR="00FA7284" w:rsidRPr="009D450D" w:rsidRDefault="00FA7284" w:rsidP="000001B4">
      <w:pPr>
        <w:rPr>
          <w:lang w:eastAsia="el-GR"/>
        </w:rPr>
      </w:pPr>
    </w:p>
    <w:p w:rsidR="00A358AA" w:rsidRPr="00240DB6" w:rsidRDefault="00A50CA8" w:rsidP="00A50CA8">
      <w:pPr>
        <w:pStyle w:val="2"/>
        <w:rPr>
          <w:lang w:eastAsia="el-GR"/>
        </w:rPr>
      </w:pPr>
      <w:bookmarkStart w:id="19" w:name="_Toc57241624"/>
      <w:r w:rsidRPr="00F24D2F">
        <w:rPr>
          <w:lang w:eastAsia="el-GR"/>
        </w:rPr>
        <w:t xml:space="preserve">2.3 </w:t>
      </w:r>
      <w:r w:rsidR="00A358AA" w:rsidRPr="00F24D2F">
        <w:rPr>
          <w:lang w:eastAsia="el-GR"/>
        </w:rPr>
        <w:t>Πορεία και πρόγνωση</w:t>
      </w:r>
      <w:bookmarkEnd w:id="19"/>
    </w:p>
    <w:p w:rsidR="00DC19FA" w:rsidRPr="00F24D2F" w:rsidRDefault="00DC19FA" w:rsidP="00DC19FA">
      <w:pPr>
        <w:rPr>
          <w:szCs w:val="24"/>
        </w:rPr>
      </w:pPr>
      <w:r w:rsidRPr="00871A0C">
        <w:rPr>
          <w:szCs w:val="24"/>
        </w:rPr>
        <w:t xml:space="preserve">Γενικότερα η πρόγνωση στους ασθενείς εκείνους που δεν εμφανίζουν έντονες δυσκολίες κατά τα πρώτα πέντε χρόνια από την εμφάνιση της νόσου, είναι αρκετά καλή. Ωστόσο, η συμμετοχή του συστήματος της παρεγκεφαλίδας συχνά υποδεικνύει </w:t>
      </w:r>
      <w:proofErr w:type="spellStart"/>
      <w:r w:rsidRPr="00871A0C">
        <w:rPr>
          <w:szCs w:val="24"/>
        </w:rPr>
        <w:t>δυσμενότερη</w:t>
      </w:r>
      <w:proofErr w:type="spellEnd"/>
      <w:r w:rsidRPr="00871A0C">
        <w:rPr>
          <w:szCs w:val="24"/>
        </w:rPr>
        <w:t xml:space="preserve"> εξέλιξη. Γενικότερα, είναι αποδεκτό το γεγονός πως αρκετοί ασθενείς καταλήγουν να είναι κατάκοιτοι έπειτα από αρκετά χρόνια, εμφανίζοντας απώλεια ούρων αλλά και κοπράνων, έχοντας δυνατούς και επώδυνους σπασμούς των μυών στα κάτω άκρα όπως επίσης συχνά εμφανίζουν εμπύρετα επεισόδια που προκύπτουν από λοιμώξεις. Η σκλήρυνση κατά πλάκας </w:t>
      </w:r>
      <w:r w:rsidRPr="00F24D2F">
        <w:rPr>
          <w:szCs w:val="24"/>
        </w:rPr>
        <w:t>δημιουργεί επεισόδια που μπορεί να είναι πολύ δυσάρεστα (Γεωργίου</w:t>
      </w:r>
      <w:r w:rsidR="00F24D2F" w:rsidRPr="00F24D2F">
        <w:rPr>
          <w:szCs w:val="24"/>
        </w:rPr>
        <w:t xml:space="preserve"> &amp; </w:t>
      </w:r>
      <w:proofErr w:type="spellStart"/>
      <w:r w:rsidR="00F24D2F" w:rsidRPr="00F24D2F">
        <w:rPr>
          <w:szCs w:val="24"/>
        </w:rPr>
        <w:t>Λέγουρα</w:t>
      </w:r>
      <w:proofErr w:type="spellEnd"/>
      <w:r w:rsidRPr="00F24D2F">
        <w:rPr>
          <w:szCs w:val="24"/>
        </w:rPr>
        <w:t xml:space="preserve">, 2001). </w:t>
      </w:r>
    </w:p>
    <w:p w:rsidR="00DC19FA" w:rsidRPr="003F199C" w:rsidRDefault="00DC19FA" w:rsidP="00DC19FA">
      <w:pPr>
        <w:rPr>
          <w:szCs w:val="24"/>
        </w:rPr>
      </w:pPr>
      <w:r w:rsidRPr="00871A0C">
        <w:rPr>
          <w:szCs w:val="24"/>
        </w:rPr>
        <w:t>Η εξελικτική πορεία της νόσου δεν ακολουθεί κανόνες που να είναι συγκεκριμένοι και αναμενόμενοι. Αντίθετα, εμφανίζονται εξάρσεις και μπορεί να υπάρξουν και υφέσεις που δύναται να είναι ολικές ή μερικές κ</w:t>
      </w:r>
      <w:r w:rsidRPr="001572E0">
        <w:rPr>
          <w:szCs w:val="24"/>
        </w:rPr>
        <w:t xml:space="preserve">αι διαδέχονται συχνά η μία την άλλη. Συνήθως η εξέλιξη της ασθένειας πλειοψηφικά στους ασθενείς εμφανίζεται να είναι σταδιακή και συνήθως ζουν μια ζωή που είναι φυσιολογική. Όταν οι αλλαγές συμβαίνουν σταδιακά είναι ευκολότερο να γίνουν πρακτικές και ψυχολογικές αναπροσαρμογές κυρίως εντός του οικογενειακού περιβάλλοντος, κάτι που έχει ως αποτέλεσμα την καλύτερη δυνατή αντιμετώπιση των </w:t>
      </w:r>
      <w:proofErr w:type="spellStart"/>
      <w:r w:rsidRPr="001572E0">
        <w:rPr>
          <w:szCs w:val="24"/>
        </w:rPr>
        <w:t>ώσων</w:t>
      </w:r>
      <w:proofErr w:type="spellEnd"/>
      <w:r w:rsidRPr="001572E0">
        <w:rPr>
          <w:szCs w:val="24"/>
        </w:rPr>
        <w:t xml:space="preserve">. Ωστόσο, δεν είναι σπάνιο το ενδεχόμενο όπου εισβάλει η νόσος σε οξέα μορφή, προσβάλλοντας αρκετά συστήματα μαζί όπου συχνά ο ασθενής καταλήγει πολύ σύντομα στον θάνατο. Συνηθέστερο όμως είναι να υπάρχει εξέλιξη της νόσου κατά ώσεις, κάτι που </w:t>
      </w:r>
      <w:r w:rsidRPr="001572E0">
        <w:rPr>
          <w:szCs w:val="24"/>
        </w:rPr>
        <w:lastRenderedPageBreak/>
        <w:t xml:space="preserve">συνεπάγεται με μια αρχική εμφάνιση αδυναμίας στα άκρα, μείωση όρασης, αισθητικές διαταραχές, να παρέλθουν έπειτα από κάποιες μέρες έως και εβδομάδες με πλήρη κλινική αποκατάσταση του ασθενή. </w:t>
      </w:r>
    </w:p>
    <w:p w:rsidR="00DC19FA" w:rsidRPr="003F199C" w:rsidRDefault="00DC19FA" w:rsidP="00DC19FA">
      <w:pPr>
        <w:rPr>
          <w:rFonts w:eastAsia="Times New Roman"/>
          <w:b/>
          <w:szCs w:val="24"/>
          <w:lang w:eastAsia="el-GR"/>
        </w:rPr>
      </w:pPr>
      <w:r w:rsidRPr="003F199C">
        <w:rPr>
          <w:szCs w:val="24"/>
        </w:rPr>
        <w:t xml:space="preserve">Καθώς περνάνε τα χρόνια ανάμεσα στο πρώτο έτος έως και τα δέκα έτη, έρχεται συνήθως και δεύτερη ώση που μπορεί να εμφανιστεί πιο εκτεταμένη συμπτωματολογικά και συγκριτικά με την πρώτη, που συχνά εντός ενός διαστήματος μηνών, φεύγει, αφήνοντας μόνο λίγα υπολείμματα στον νοσούν. Έπειτα, εμφανίζεται η τρίτη καθώς και η τέταρτη ώση και σε εκείνη τη φάση δύναται τελικά ο ασθενής να γίνει μόνιμα παραπληγικός. Είναι σημαντικό να αναφερθεί πως σε ορισμένες περιπτώσεις, εμφανίστηκε μία ώση μόνο στην διάρκεια ολόκληρης της ζωής του ασθενή και έπειτα σταμάτησε η ασθένεια για πολλά χρόνια, κάτι που παραπέμπει στο ότι ο ασθενής ήταν καλά σε βάθος χρόνου. Ωστόσο, υπήρξαν και οι περιπτώσεις στις οποίες η πρώτη ώση ήταν και η καθοριστική λόγω της σοβαρότητας της, δεν υποχώρησε και χαρακτηρίστηκε ως χρόνια εξελικτική </w:t>
      </w:r>
      <w:r w:rsidR="00F24D2F" w:rsidRPr="00F24D2F">
        <w:rPr>
          <w:szCs w:val="24"/>
        </w:rPr>
        <w:t xml:space="preserve">(Γεωργίου &amp; </w:t>
      </w:r>
      <w:proofErr w:type="spellStart"/>
      <w:r w:rsidR="00F24D2F" w:rsidRPr="00F24D2F">
        <w:rPr>
          <w:szCs w:val="24"/>
        </w:rPr>
        <w:t>Λέγουρα</w:t>
      </w:r>
      <w:proofErr w:type="spellEnd"/>
      <w:r w:rsidR="00F24D2F" w:rsidRPr="00F24D2F">
        <w:rPr>
          <w:szCs w:val="24"/>
        </w:rPr>
        <w:t>, 2001).</w:t>
      </w:r>
    </w:p>
    <w:p w:rsidR="00A50CA8" w:rsidRDefault="00A50CA8" w:rsidP="00A50CA8">
      <w:pPr>
        <w:pStyle w:val="2"/>
        <w:rPr>
          <w:lang w:eastAsia="el-GR"/>
        </w:rPr>
      </w:pPr>
      <w:bookmarkStart w:id="20" w:name="_Toc57241625"/>
      <w:r w:rsidRPr="00A50CA8">
        <w:rPr>
          <w:lang w:eastAsia="el-GR"/>
        </w:rPr>
        <w:t xml:space="preserve">2.4 </w:t>
      </w:r>
      <w:r w:rsidR="00A358AA" w:rsidRPr="00A50CA8">
        <w:rPr>
          <w:lang w:eastAsia="el-GR"/>
        </w:rPr>
        <w:t>Διάγνωση και διαφορική διάγνωση</w:t>
      </w:r>
      <w:bookmarkEnd w:id="20"/>
      <w:r w:rsidR="00B967D3" w:rsidRPr="00A50CA8">
        <w:rPr>
          <w:lang w:eastAsia="el-GR"/>
        </w:rPr>
        <w:t xml:space="preserve"> </w:t>
      </w:r>
    </w:p>
    <w:p w:rsidR="000070ED" w:rsidRPr="003B6C35" w:rsidRDefault="000070ED" w:rsidP="000070ED">
      <w:pPr>
        <w:rPr>
          <w:rFonts w:eastAsia="Times New Roman"/>
          <w:b/>
          <w:szCs w:val="24"/>
          <w:lang w:eastAsia="el-GR"/>
        </w:rPr>
      </w:pPr>
      <w:r w:rsidRPr="003B6C35">
        <w:rPr>
          <w:szCs w:val="24"/>
        </w:rPr>
        <w:t xml:space="preserve">Έως τις ημέρες μας, παρ’ όλη την πληθώρα των υπαρχουσών ερευνών και τα ποικίλα εργαστηριακά ευρήματα, δεν υπάρχουν εξετάσεις οι οποίες να είναι ικανές στο να καθορίσουν με βεβαιότητα εάν κάποιο άτομο νοσεί με Σκλήρυνση κατά Πλάκας. Υπάρχουν αρκετές στρατηγικές οι οποίες εφαρμόζονται έτσι ώστε να διαγνωστεί εάν το άτομο </w:t>
      </w:r>
      <w:proofErr w:type="spellStart"/>
      <w:r w:rsidRPr="003B6C35">
        <w:rPr>
          <w:szCs w:val="24"/>
        </w:rPr>
        <w:t>πληρεί</w:t>
      </w:r>
      <w:proofErr w:type="spellEnd"/>
      <w:r w:rsidRPr="003B6C35">
        <w:rPr>
          <w:szCs w:val="24"/>
        </w:rPr>
        <w:t xml:space="preserve"> τα μακροχρόνια κριτήρια της εν λόγω ασθένειας, αποκλείοντας με την αφαιρετική μέθοδο τυχόν πιθανά αίτια πέρα από την ΣΚΠ αναφορικά με τα συμπτώματα. Οι εξετάσεις αυτές, περιορίζονται σε ανάλυση εγκεφαλονωτιαίου υγρού καθώς και μαγνητική τομογραφία (MRI). </w:t>
      </w:r>
    </w:p>
    <w:p w:rsidR="000070ED" w:rsidRPr="003B6C35" w:rsidRDefault="000070ED" w:rsidP="000070ED">
      <w:pPr>
        <w:rPr>
          <w:szCs w:val="24"/>
        </w:rPr>
      </w:pPr>
      <w:r w:rsidRPr="003B6C35">
        <w:rPr>
          <w:szCs w:val="24"/>
        </w:rPr>
        <w:t xml:space="preserve">Για να μπορέσει ο ιατρός να γνωματεύσει την ασθένεια της Σκλήρυνσης Κατά Πλάκας, χρειάζεται να γίνει εύρεση στοιχείων βλάβης σε τουλάχιστον δύο διαφορετικές περιοχές του ΚΝΣ, όπου συμπεριλαμβάνεται ο εγκέφαλος, ο νωτιαίος μυελός και τα οπτικά νεύρα. Επιπρόσθετα, χρειάζεται να βρεθούν στοιχεία που να εξακριβώνουν πως η </w:t>
      </w:r>
      <w:proofErr w:type="spellStart"/>
      <w:r w:rsidRPr="003B6C35">
        <w:rPr>
          <w:szCs w:val="24"/>
        </w:rPr>
        <w:t>έκαστη</w:t>
      </w:r>
      <w:proofErr w:type="spellEnd"/>
      <w:r w:rsidRPr="003B6C35">
        <w:rPr>
          <w:szCs w:val="24"/>
        </w:rPr>
        <w:t xml:space="preserve"> βλάβη επιτελέστηκε με διαφορά ενός μηνός η μία από την άλλη. Βασική προϋπόθεση είναι επίσης ο αποκλεισμός των περιπτώσεων άλλων ασθενειών.</w:t>
      </w:r>
    </w:p>
    <w:p w:rsidR="000070ED" w:rsidRPr="00826B08" w:rsidRDefault="000070ED" w:rsidP="000070ED">
      <w:pPr>
        <w:rPr>
          <w:szCs w:val="24"/>
        </w:rPr>
      </w:pPr>
      <w:r>
        <w:rPr>
          <w:szCs w:val="24"/>
        </w:rPr>
        <w:t>Πιο αναλυ</w:t>
      </w:r>
      <w:r w:rsidRPr="00826B08">
        <w:rPr>
          <w:szCs w:val="24"/>
        </w:rPr>
        <w:t xml:space="preserve">τικά, ο γιατρός ορίζει μια σειρά από εξετάσεις έτσι ώστε να μπορέσει να αξιολογήσει τις συνθήκες στις οποίες βρίσκεται ο ασθενής π.χ. την ψυχική του κατάσταση, τις γλωσσικές λειτουργίες του, το συναισθηματικό του στάτους, τον συντονισμό των κινήσεων του και γενικότερα την κίνηση του, την όραση, την ισορροπία και γενικότερα τις αισθήσεις του. Δεν είναι λίγες οι περιπτώσεις όπου το ιατρικό ιστορικό ενός ατόμου καθώς και οι </w:t>
      </w:r>
      <w:r w:rsidRPr="00826B08">
        <w:rPr>
          <w:szCs w:val="24"/>
        </w:rPr>
        <w:lastRenderedPageBreak/>
        <w:t>νευρολογικές εξετάσεις του, αποδίδουν πολλά στοιχεία έτσι ώστε να έρχονται σε συμφωνία με τα διαγνωστικά κριτήρια τα οποία προαναφέρθηκαν.</w:t>
      </w:r>
      <w:r>
        <w:rPr>
          <w:szCs w:val="24"/>
        </w:rPr>
        <w:t xml:space="preserve"> Επίσης είναι σημαντικό να αναφερθεί πως δεν υπάρχει κάποια εξέταση αίματος που να είναι ει</w:t>
      </w:r>
      <w:r w:rsidRPr="00826B08">
        <w:rPr>
          <w:szCs w:val="24"/>
        </w:rPr>
        <w:t>δική και να διευκολύνει την διάγνωση της ασθένειας, ωστόσο, μέσα από εξετάσεις αίματος είναι δυνατό να αποκλειστούν λοιπές ασθένειες οι οποίες παρουσιάζουν συμπτώματα όμοια με αυτά της εν λόγω νόσου.</w:t>
      </w:r>
    </w:p>
    <w:p w:rsidR="000070ED" w:rsidRPr="000070ED" w:rsidRDefault="000070ED" w:rsidP="000070ED">
      <w:pPr>
        <w:rPr>
          <w:szCs w:val="24"/>
        </w:rPr>
      </w:pPr>
      <w:r w:rsidRPr="00826B08">
        <w:rPr>
          <w:szCs w:val="24"/>
        </w:rPr>
        <w:t xml:space="preserve">Με την χρήση του μαγνητικού τομογράφου, το οποίο είναι ένα καλό διαγνωστικό εργαλείο για την συγκεκριμένη νόσο, προσφέρεται η δυνατότητα για πιο ευαίσθητη απεικόνιση του μυελού των οστών και του εγκεφάλου. Αποτελεί το πλέον ενδεδειγμένο εργαλείο ως προς την δυνατότητα ορθής διάγνωσης της νόσου καθώς επίσης είναι ένα σημαντικό εργαλείο το οποίο συμμετέχει και στην παρακολούθηση της εξελικτικής πορείας της. Μέσα λοιπόν από την μέθοδο αυτή, κατέστη εφικτή η ανάκτηση μεγαλύτερης αντίληψης </w:t>
      </w:r>
      <w:r w:rsidRPr="000070ED">
        <w:rPr>
          <w:szCs w:val="24"/>
        </w:rPr>
        <w:t>μέσω των απεικονίσεων αναφορικά με την παθολογία της νόσου (</w:t>
      </w:r>
      <w:r w:rsidRPr="000070ED">
        <w:rPr>
          <w:szCs w:val="24"/>
          <w:lang w:val="en-US"/>
        </w:rPr>
        <w:t>Iraj</w:t>
      </w:r>
      <w:r w:rsidRPr="000070ED">
        <w:rPr>
          <w:szCs w:val="24"/>
        </w:rPr>
        <w:t xml:space="preserve"> </w:t>
      </w:r>
      <w:r w:rsidRPr="000070ED">
        <w:rPr>
          <w:szCs w:val="24"/>
          <w:lang w:val="en-US"/>
        </w:rPr>
        <w:t>et</w:t>
      </w:r>
      <w:r w:rsidRPr="000070ED">
        <w:rPr>
          <w:szCs w:val="24"/>
        </w:rPr>
        <w:t xml:space="preserve"> </w:t>
      </w:r>
      <w:r w:rsidRPr="000070ED">
        <w:rPr>
          <w:szCs w:val="24"/>
          <w:lang w:val="en-US"/>
        </w:rPr>
        <w:t>al</w:t>
      </w:r>
      <w:r w:rsidRPr="000070ED">
        <w:rPr>
          <w:szCs w:val="24"/>
        </w:rPr>
        <w:t xml:space="preserve">., 1995). </w:t>
      </w:r>
    </w:p>
    <w:p w:rsidR="000070ED" w:rsidRPr="00BD77C6" w:rsidRDefault="000070ED" w:rsidP="000070ED">
      <w:pPr>
        <w:rPr>
          <w:szCs w:val="24"/>
        </w:rPr>
      </w:pPr>
      <w:r w:rsidRPr="00BD77C6">
        <w:rPr>
          <w:szCs w:val="24"/>
        </w:rPr>
        <w:t xml:space="preserve">Ο μαγνητικός τομογράφος, σε αντίθεση με την αξονική τομογραφία δεν έχει ραδιενέργεια. Με το </w:t>
      </w:r>
      <w:r w:rsidRPr="00BD77C6">
        <w:rPr>
          <w:szCs w:val="24"/>
          <w:lang w:val="en-US"/>
        </w:rPr>
        <w:t>MRI</w:t>
      </w:r>
      <w:r w:rsidRPr="00BD77C6">
        <w:rPr>
          <w:szCs w:val="24"/>
        </w:rPr>
        <w:t>, είναι δυνατή η καταγραφή της περιεκτικότητας του νερού που βρίσκεται στους μη υγιής ιστούς</w:t>
      </w:r>
      <w:r>
        <w:rPr>
          <w:szCs w:val="24"/>
        </w:rPr>
        <w:t xml:space="preserve"> καθώς και στους υγιής</w:t>
      </w:r>
      <w:r w:rsidRPr="00BD77C6">
        <w:rPr>
          <w:szCs w:val="24"/>
        </w:rPr>
        <w:t xml:space="preserve">, λόγω του ότι δημιουργεί ισχυρό μαγνητικό πεδίο που αναγκάζει τα πρωτόνια του υδρογόνου που βρίσκονται στα μόρια του νερού έρθουν σε ευθυγράμμιση με το μαγνητικό πεδίο και την κατεύθυνση αυτού, ενώ όταν γίνει αυτό, τότε έρχονται ραδιοκύματα τα οποία τα θέτουν εκτός της προηγούμενης γραμμικής τους τοποθέτησης. Στη συνέχεια, ραδιοκύματα που εκπέμπονται τα σταματάνε και έτσι επιστρέφουν τα πρωτόνια στην προηγούμενη τους κατάσταση, ενώ όταν γίνεται αυτό εκπέμπονται σήματα τα οποία μεταδίδονται σε υπολογιστή για να γίνει η απεικόνιση που είναι και το επιθυμητό αποτέλεσμα της εξέτασης αυτής. Η διάρκεια είναι από σαράντα έως ογδόντα λεπτά. Καθ’ όλη τη διάρκεια κατά την εξέταση, γίνεται λήψη πολλών απεικονίσεων του </w:t>
      </w:r>
      <w:r>
        <w:rPr>
          <w:szCs w:val="24"/>
        </w:rPr>
        <w:t>νοσούν</w:t>
      </w:r>
      <w:r w:rsidRPr="00BD77C6">
        <w:rPr>
          <w:szCs w:val="24"/>
        </w:rPr>
        <w:t>, ο οποίος δεν πρέπει να φέρει το οποιοδήποτε μεταλλικό αντικείμενο επάνω του εξαιτίας του ισχυρού μαγνητικού πεδίου του τομογράφου που δημιουργείται κατά την διάρκεια της λειτουργίας του</w:t>
      </w:r>
      <w:r w:rsidRPr="000070ED">
        <w:rPr>
          <w:szCs w:val="24"/>
        </w:rPr>
        <w:t xml:space="preserve"> (</w:t>
      </w:r>
      <w:proofErr w:type="spellStart"/>
      <w:r w:rsidRPr="000070ED">
        <w:rPr>
          <w:lang w:eastAsia="el-GR"/>
        </w:rPr>
        <w:t>Lorraine</w:t>
      </w:r>
      <w:proofErr w:type="spellEnd"/>
      <w:r w:rsidRPr="000070ED">
        <w:rPr>
          <w:lang w:eastAsia="el-GR"/>
        </w:rPr>
        <w:t xml:space="preserve"> de </w:t>
      </w:r>
      <w:proofErr w:type="spellStart"/>
      <w:r w:rsidRPr="000070ED">
        <w:rPr>
          <w:lang w:eastAsia="el-GR"/>
        </w:rPr>
        <w:t>Souza</w:t>
      </w:r>
      <w:proofErr w:type="spellEnd"/>
      <w:r w:rsidRPr="000070ED">
        <w:rPr>
          <w:lang w:eastAsia="el-GR"/>
        </w:rPr>
        <w:t>, 1997)</w:t>
      </w:r>
      <w:r w:rsidRPr="00BD77C6">
        <w:rPr>
          <w:szCs w:val="24"/>
        </w:rPr>
        <w:t xml:space="preserve">. </w:t>
      </w:r>
    </w:p>
    <w:p w:rsidR="000070ED" w:rsidRPr="00A60D8E" w:rsidRDefault="000070ED" w:rsidP="000070ED">
      <w:pPr>
        <w:rPr>
          <w:rFonts w:eastAsia="Times New Roman"/>
          <w:b/>
          <w:szCs w:val="24"/>
          <w:lang w:eastAsia="el-GR"/>
        </w:rPr>
      </w:pPr>
      <w:r w:rsidRPr="00A60D8E">
        <w:rPr>
          <w:szCs w:val="24"/>
        </w:rPr>
        <w:t xml:space="preserve">Είναι απαραίτητο να διάφορο-διαγνωστεί η Σκλήρυνση Κατά Πλάκας από αρκετές αγγειακές παθήσεις, μεταβολικά νοσήματα, λοιμώδεις παθήσεις, νευρολογικές παθήσεις και άλλες πριν γίνει η διάγνωσή της με σιγουριά. Αυτές οι παθήσεις με τις οποίες μπορεί να εμφανίσει κοινή συμπτωματολογία είναι οι εξής: </w:t>
      </w:r>
    </w:p>
    <w:p w:rsidR="000070ED" w:rsidRPr="00A60D8E" w:rsidRDefault="000070ED" w:rsidP="000070ED">
      <w:pPr>
        <w:numPr>
          <w:ilvl w:val="0"/>
          <w:numId w:val="1"/>
        </w:numPr>
        <w:rPr>
          <w:szCs w:val="24"/>
        </w:rPr>
      </w:pPr>
      <w:r w:rsidRPr="00A60D8E">
        <w:rPr>
          <w:szCs w:val="24"/>
        </w:rPr>
        <w:t xml:space="preserve">Αγγειίτιδες όπως είναι η Νόσος </w:t>
      </w:r>
      <w:proofErr w:type="spellStart"/>
      <w:r w:rsidRPr="00A60D8E">
        <w:rPr>
          <w:szCs w:val="24"/>
        </w:rPr>
        <w:t>Αδαμαντιάδη</w:t>
      </w:r>
      <w:proofErr w:type="spellEnd"/>
      <w:r w:rsidRPr="00A60D8E">
        <w:rPr>
          <w:szCs w:val="24"/>
        </w:rPr>
        <w:t xml:space="preserve"> - </w:t>
      </w:r>
      <w:proofErr w:type="spellStart"/>
      <w:r w:rsidRPr="00A60D8E">
        <w:rPr>
          <w:szCs w:val="24"/>
        </w:rPr>
        <w:t>Behcet</w:t>
      </w:r>
      <w:proofErr w:type="spellEnd"/>
      <w:r w:rsidRPr="00A60D8E">
        <w:rPr>
          <w:szCs w:val="24"/>
        </w:rPr>
        <w:t xml:space="preserve">, ο Συστηματικός </w:t>
      </w:r>
      <w:proofErr w:type="spellStart"/>
      <w:r w:rsidRPr="00A60D8E">
        <w:rPr>
          <w:szCs w:val="24"/>
        </w:rPr>
        <w:t>Ερυθηματώδης</w:t>
      </w:r>
      <w:proofErr w:type="spellEnd"/>
      <w:r w:rsidRPr="00A60D8E">
        <w:rPr>
          <w:szCs w:val="24"/>
        </w:rPr>
        <w:t xml:space="preserve"> Λύκος, η Οζώδης </w:t>
      </w:r>
      <w:proofErr w:type="spellStart"/>
      <w:r w:rsidRPr="00A60D8E">
        <w:rPr>
          <w:szCs w:val="24"/>
        </w:rPr>
        <w:t>πολυαρτηρήτιδα</w:t>
      </w:r>
      <w:proofErr w:type="spellEnd"/>
      <w:r w:rsidRPr="00A60D8E">
        <w:rPr>
          <w:szCs w:val="24"/>
        </w:rPr>
        <w:t xml:space="preserve"> και το Σύνδρομο </w:t>
      </w:r>
      <w:proofErr w:type="spellStart"/>
      <w:r w:rsidRPr="00A60D8E">
        <w:rPr>
          <w:szCs w:val="24"/>
        </w:rPr>
        <w:t>Sjogren</w:t>
      </w:r>
      <w:proofErr w:type="spellEnd"/>
      <w:r w:rsidRPr="00A60D8E">
        <w:rPr>
          <w:szCs w:val="24"/>
        </w:rPr>
        <w:t xml:space="preserve">. </w:t>
      </w:r>
    </w:p>
    <w:p w:rsidR="000070ED" w:rsidRPr="00A60D8E" w:rsidRDefault="000070ED" w:rsidP="000070ED">
      <w:pPr>
        <w:numPr>
          <w:ilvl w:val="0"/>
          <w:numId w:val="1"/>
        </w:numPr>
        <w:rPr>
          <w:szCs w:val="24"/>
        </w:rPr>
      </w:pPr>
      <w:r w:rsidRPr="00A60D8E">
        <w:rPr>
          <w:szCs w:val="24"/>
        </w:rPr>
        <w:lastRenderedPageBreak/>
        <w:t xml:space="preserve">Η εγκεφαλική </w:t>
      </w:r>
      <w:proofErr w:type="spellStart"/>
      <w:r w:rsidRPr="00A60D8E">
        <w:rPr>
          <w:szCs w:val="24"/>
        </w:rPr>
        <w:t>αγγειοπάθεια</w:t>
      </w:r>
      <w:proofErr w:type="spellEnd"/>
      <w:r w:rsidRPr="00A60D8E">
        <w:rPr>
          <w:szCs w:val="24"/>
        </w:rPr>
        <w:t xml:space="preserve">, που μπορεί να προήλθε από σακχαρώδη διαβήτη, υπέρταση, κολπική μαρμαρυγή, Σύνδρομο </w:t>
      </w:r>
      <w:proofErr w:type="spellStart"/>
      <w:r w:rsidRPr="00A60D8E">
        <w:rPr>
          <w:szCs w:val="24"/>
        </w:rPr>
        <w:t>αντικαρδιολιπίνης</w:t>
      </w:r>
      <w:proofErr w:type="spellEnd"/>
      <w:r w:rsidRPr="00A60D8E">
        <w:rPr>
          <w:szCs w:val="24"/>
        </w:rPr>
        <w:t xml:space="preserve"> και </w:t>
      </w:r>
      <w:proofErr w:type="spellStart"/>
      <w:r w:rsidRPr="00A60D8E">
        <w:rPr>
          <w:szCs w:val="24"/>
        </w:rPr>
        <w:t>Βακτηριακή</w:t>
      </w:r>
      <w:proofErr w:type="spellEnd"/>
      <w:r w:rsidRPr="00A60D8E">
        <w:rPr>
          <w:szCs w:val="24"/>
        </w:rPr>
        <w:t xml:space="preserve"> ενδοκαρδίτιδα.</w:t>
      </w:r>
    </w:p>
    <w:p w:rsidR="000070ED" w:rsidRPr="00A60D8E" w:rsidRDefault="000070ED" w:rsidP="000070ED">
      <w:pPr>
        <w:numPr>
          <w:ilvl w:val="0"/>
          <w:numId w:val="1"/>
        </w:numPr>
        <w:rPr>
          <w:szCs w:val="24"/>
        </w:rPr>
      </w:pPr>
      <w:r w:rsidRPr="00A60D8E">
        <w:rPr>
          <w:szCs w:val="24"/>
        </w:rPr>
        <w:t xml:space="preserve">Τα μεταβολικά νοσήματα, π.χ. </w:t>
      </w:r>
      <w:proofErr w:type="spellStart"/>
      <w:r w:rsidRPr="00A60D8E">
        <w:rPr>
          <w:szCs w:val="24"/>
        </w:rPr>
        <w:t>Υποξεία</w:t>
      </w:r>
      <w:proofErr w:type="spellEnd"/>
      <w:r w:rsidRPr="00A60D8E">
        <w:rPr>
          <w:szCs w:val="24"/>
        </w:rPr>
        <w:t xml:space="preserve"> συνδυασμένη σκλήρυνση, </w:t>
      </w:r>
      <w:proofErr w:type="spellStart"/>
      <w:r w:rsidRPr="00A60D8E">
        <w:rPr>
          <w:szCs w:val="24"/>
        </w:rPr>
        <w:t>Μεταχρωματική</w:t>
      </w:r>
      <w:proofErr w:type="spellEnd"/>
      <w:r w:rsidRPr="00A60D8E">
        <w:rPr>
          <w:szCs w:val="24"/>
        </w:rPr>
        <w:t xml:space="preserve"> </w:t>
      </w:r>
      <w:proofErr w:type="spellStart"/>
      <w:r w:rsidRPr="00A60D8E">
        <w:rPr>
          <w:szCs w:val="24"/>
        </w:rPr>
        <w:t>λευκοδυστροφία</w:t>
      </w:r>
      <w:proofErr w:type="spellEnd"/>
      <w:r w:rsidRPr="00A60D8E">
        <w:rPr>
          <w:szCs w:val="24"/>
        </w:rPr>
        <w:t xml:space="preserve"> και </w:t>
      </w:r>
      <w:proofErr w:type="spellStart"/>
      <w:r w:rsidRPr="00A60D8E">
        <w:rPr>
          <w:szCs w:val="24"/>
        </w:rPr>
        <w:t>Αδρενολευκοδυστροφία</w:t>
      </w:r>
      <w:proofErr w:type="spellEnd"/>
      <w:r w:rsidRPr="00A60D8E">
        <w:rPr>
          <w:szCs w:val="24"/>
        </w:rPr>
        <w:t xml:space="preserve">. </w:t>
      </w:r>
    </w:p>
    <w:p w:rsidR="000070ED" w:rsidRPr="00A60D8E" w:rsidRDefault="000070ED" w:rsidP="000070ED">
      <w:pPr>
        <w:numPr>
          <w:ilvl w:val="0"/>
          <w:numId w:val="1"/>
        </w:numPr>
        <w:rPr>
          <w:szCs w:val="24"/>
        </w:rPr>
      </w:pPr>
      <w:r w:rsidRPr="00A60D8E">
        <w:rPr>
          <w:szCs w:val="24"/>
        </w:rPr>
        <w:t xml:space="preserve">Οι λοιμώδεις παθήσεις π.χ. Οξεία διάσπαρτη </w:t>
      </w:r>
      <w:proofErr w:type="spellStart"/>
      <w:r w:rsidRPr="00A60D8E">
        <w:rPr>
          <w:szCs w:val="24"/>
        </w:rPr>
        <w:t>εγκεφαλομυελίτιδα</w:t>
      </w:r>
      <w:proofErr w:type="spellEnd"/>
      <w:r w:rsidRPr="00A60D8E">
        <w:rPr>
          <w:szCs w:val="24"/>
        </w:rPr>
        <w:t xml:space="preserve">, Νόσος </w:t>
      </w:r>
      <w:proofErr w:type="spellStart"/>
      <w:r w:rsidRPr="00A60D8E">
        <w:rPr>
          <w:szCs w:val="24"/>
        </w:rPr>
        <w:t>Lyme</w:t>
      </w:r>
      <w:proofErr w:type="spellEnd"/>
      <w:r w:rsidRPr="00A60D8E">
        <w:rPr>
          <w:szCs w:val="24"/>
        </w:rPr>
        <w:t xml:space="preserve">, HTLV-1, AIDS, </w:t>
      </w:r>
      <w:proofErr w:type="spellStart"/>
      <w:r w:rsidRPr="00A60D8E">
        <w:rPr>
          <w:szCs w:val="24"/>
        </w:rPr>
        <w:t>Νευροσύφιλη</w:t>
      </w:r>
      <w:proofErr w:type="spellEnd"/>
      <w:r w:rsidRPr="00A60D8E">
        <w:rPr>
          <w:szCs w:val="24"/>
        </w:rPr>
        <w:t xml:space="preserve"> κ.ά. </w:t>
      </w:r>
    </w:p>
    <w:p w:rsidR="000070ED" w:rsidRPr="00CE43A6" w:rsidRDefault="000070ED" w:rsidP="000070ED">
      <w:pPr>
        <w:numPr>
          <w:ilvl w:val="0"/>
          <w:numId w:val="1"/>
        </w:numPr>
        <w:rPr>
          <w:szCs w:val="24"/>
        </w:rPr>
      </w:pPr>
      <w:r w:rsidRPr="00A60D8E">
        <w:rPr>
          <w:szCs w:val="24"/>
        </w:rPr>
        <w:t xml:space="preserve">Παραλλαγές πολλαπλής Σκλήρυνσης π.χ. συγκεντρική σκλήρυνση, Διάχυτη εγκεφαλική σκλήρυνση, οπτική νευρομυελίτιδα ή Σύνδρομο </w:t>
      </w:r>
      <w:proofErr w:type="spellStart"/>
      <w:r w:rsidRPr="00A60D8E">
        <w:rPr>
          <w:szCs w:val="24"/>
        </w:rPr>
        <w:t>Devic</w:t>
      </w:r>
      <w:proofErr w:type="spellEnd"/>
      <w:r w:rsidRPr="00A60D8E">
        <w:rPr>
          <w:szCs w:val="24"/>
        </w:rPr>
        <w:t xml:space="preserve"> </w:t>
      </w:r>
      <w:r w:rsidRPr="00CE43A6">
        <w:rPr>
          <w:szCs w:val="24"/>
        </w:rPr>
        <w:t xml:space="preserve">κ.ά. </w:t>
      </w:r>
    </w:p>
    <w:p w:rsidR="000070ED" w:rsidRPr="0059485A" w:rsidRDefault="000070ED" w:rsidP="000070ED">
      <w:pPr>
        <w:numPr>
          <w:ilvl w:val="0"/>
          <w:numId w:val="1"/>
        </w:numPr>
        <w:rPr>
          <w:rFonts w:eastAsia="Times New Roman"/>
          <w:b/>
          <w:szCs w:val="24"/>
          <w:lang w:eastAsia="el-GR"/>
        </w:rPr>
      </w:pPr>
      <w:r w:rsidRPr="00CE43A6">
        <w:rPr>
          <w:szCs w:val="24"/>
        </w:rPr>
        <w:t xml:space="preserve">Λοιπές παθήσεις π.χ. Μυελοπάθεια εκ πιέσεως, </w:t>
      </w:r>
      <w:proofErr w:type="spellStart"/>
      <w:r w:rsidRPr="00CE43A6">
        <w:rPr>
          <w:szCs w:val="24"/>
        </w:rPr>
        <w:t>Σαρκοείδωση</w:t>
      </w:r>
      <w:proofErr w:type="spellEnd"/>
      <w:r w:rsidRPr="00CE43A6">
        <w:rPr>
          <w:szCs w:val="24"/>
        </w:rPr>
        <w:t xml:space="preserve">, Νόσος </w:t>
      </w:r>
      <w:proofErr w:type="spellStart"/>
      <w:r w:rsidRPr="00CE43A6">
        <w:rPr>
          <w:szCs w:val="24"/>
        </w:rPr>
        <w:t>Whipple</w:t>
      </w:r>
      <w:proofErr w:type="spellEnd"/>
      <w:r w:rsidRPr="00CE43A6">
        <w:rPr>
          <w:szCs w:val="24"/>
        </w:rPr>
        <w:t xml:space="preserve">, Όγκοι του ΚΝΣ, Κληρονομική οπτική νευροπάθεια του </w:t>
      </w:r>
      <w:proofErr w:type="spellStart"/>
      <w:r w:rsidRPr="00CE43A6">
        <w:rPr>
          <w:szCs w:val="24"/>
        </w:rPr>
        <w:t>Leber</w:t>
      </w:r>
      <w:proofErr w:type="spellEnd"/>
      <w:r w:rsidRPr="00CE43A6">
        <w:rPr>
          <w:szCs w:val="24"/>
        </w:rPr>
        <w:t xml:space="preserve">, ψυχικές διαταραχές, </w:t>
      </w:r>
      <w:proofErr w:type="spellStart"/>
      <w:r w:rsidRPr="00CE43A6">
        <w:rPr>
          <w:szCs w:val="24"/>
        </w:rPr>
        <w:t>Οικογενής</w:t>
      </w:r>
      <w:proofErr w:type="spellEnd"/>
      <w:r w:rsidRPr="00CE43A6">
        <w:rPr>
          <w:szCs w:val="24"/>
        </w:rPr>
        <w:t xml:space="preserve"> σπαστική παραπληγία, </w:t>
      </w:r>
      <w:proofErr w:type="spellStart"/>
      <w:r w:rsidRPr="00CE43A6">
        <w:rPr>
          <w:szCs w:val="24"/>
        </w:rPr>
        <w:t>απομυελινωτικές</w:t>
      </w:r>
      <w:proofErr w:type="spellEnd"/>
      <w:r w:rsidRPr="00CE43A6">
        <w:rPr>
          <w:szCs w:val="24"/>
        </w:rPr>
        <w:t xml:space="preserve"> διαταραχές κ.ά.</w:t>
      </w:r>
    </w:p>
    <w:p w:rsidR="000070ED" w:rsidRPr="000070ED" w:rsidRDefault="000070ED" w:rsidP="000070ED">
      <w:pPr>
        <w:rPr>
          <w:lang w:eastAsia="el-GR"/>
        </w:rPr>
      </w:pPr>
    </w:p>
    <w:p w:rsidR="00DF7278" w:rsidRPr="009559DE" w:rsidRDefault="00A50CA8" w:rsidP="00A50CA8">
      <w:pPr>
        <w:pStyle w:val="2"/>
        <w:rPr>
          <w:lang w:eastAsia="el-GR"/>
        </w:rPr>
      </w:pPr>
      <w:bookmarkStart w:id="21" w:name="_Toc57241626"/>
      <w:r w:rsidRPr="00A50CA8">
        <w:rPr>
          <w:lang w:eastAsia="el-GR"/>
        </w:rPr>
        <w:t xml:space="preserve">2.5 </w:t>
      </w:r>
      <w:r w:rsidR="00DF7278" w:rsidRPr="00A50CA8">
        <w:rPr>
          <w:lang w:eastAsia="el-GR"/>
        </w:rPr>
        <w:t>Είδη και τύποι</w:t>
      </w:r>
      <w:bookmarkEnd w:id="21"/>
      <w:r w:rsidR="00B967D3" w:rsidRPr="00A50CA8">
        <w:rPr>
          <w:lang w:eastAsia="el-GR"/>
        </w:rPr>
        <w:t xml:space="preserve"> </w:t>
      </w:r>
    </w:p>
    <w:p w:rsidR="00CC77B6" w:rsidRPr="006A7992" w:rsidRDefault="00CC77B6" w:rsidP="00CC77B6">
      <w:r>
        <w:rPr>
          <w:rStyle w:val="tlid-translation"/>
        </w:rPr>
        <w:t xml:space="preserve">Η σκλήρυνση κατά πλάκας (MS) είναι μια χρόνια φλεγμονώδης και </w:t>
      </w:r>
      <w:proofErr w:type="spellStart"/>
      <w:r>
        <w:rPr>
          <w:rStyle w:val="tlid-translation"/>
        </w:rPr>
        <w:t>απομυελινωτική</w:t>
      </w:r>
      <w:proofErr w:type="spellEnd"/>
      <w:r>
        <w:rPr>
          <w:rStyle w:val="tlid-translation"/>
        </w:rPr>
        <w:t xml:space="preserve"> </w:t>
      </w:r>
      <w:proofErr w:type="spellStart"/>
      <w:r>
        <w:rPr>
          <w:rStyle w:val="tlid-translation"/>
        </w:rPr>
        <w:t>αυτοάνοση</w:t>
      </w:r>
      <w:proofErr w:type="spellEnd"/>
      <w:r>
        <w:rPr>
          <w:rStyle w:val="tlid-translation"/>
        </w:rPr>
        <w:t xml:space="preserve"> ασθένεια. Οι κύριες αιτίες που είναι υπεύθυνες για την ανάπτυξη της σκλήρυνσης κατά πλάκας περιλαμβάνουν εξωγενείς, περιβαλλοντικούς και γενετικούς παράγοντες. Η σκλήρυνση κατά πλάκας χαρακτηρίζεται από </w:t>
      </w:r>
      <w:proofErr w:type="spellStart"/>
      <w:r>
        <w:rPr>
          <w:rStyle w:val="tlid-translation"/>
        </w:rPr>
        <w:t>πολυεστιακή</w:t>
      </w:r>
      <w:proofErr w:type="spellEnd"/>
      <w:r>
        <w:rPr>
          <w:rStyle w:val="tlid-translation"/>
        </w:rPr>
        <w:t xml:space="preserve"> και χρονικά διάσπαρτη βλάβη του κεντρικού νευρικού συστήματος (ΚΝΣ) που οδηγεί στην αξονική βλάβη. Μεταξύ των κλινικών μαθημάτων της σκλήρυνσης κατά πλάκας μπορεί να γίνει διάκριση της υποτροπιάζουσας-διαλείπουσα πολλαπλή σκλήρυνση (RRMS), της δευτερογενούς προοδευτικής πολλαπλής σκλήρυνσης (SPSM), της πρωτοπαθούς προοδευτικής πολλαπλής σκλήρυνσης (PPMS) και της προοδευτικής υποτροπής πολλαπλής σκλήρυνσης (RPMS). Ανάλογα με τη σοβαρότητα των σημείων και συμπτωμάτων, η σκλήρυνση κατά πλάκας μπορεί να </w:t>
      </w:r>
      <w:proofErr w:type="spellStart"/>
      <w:r>
        <w:rPr>
          <w:rStyle w:val="tlid-translation"/>
        </w:rPr>
        <w:t>περιγραφεί</w:t>
      </w:r>
      <w:proofErr w:type="spellEnd"/>
      <w:r>
        <w:rPr>
          <w:rStyle w:val="tlid-translation"/>
        </w:rPr>
        <w:t xml:space="preserve"> ως καλοήθης ή κακοήθης σκλήρυνση κατά πλάκας (</w:t>
      </w:r>
      <w:r w:rsidRPr="00CC77B6">
        <w:rPr>
          <w:lang w:val="en-US"/>
        </w:rPr>
        <w:t>Kami</w:t>
      </w:r>
      <w:r w:rsidRPr="00CC77B6">
        <w:t>ń</w:t>
      </w:r>
      <w:r w:rsidRPr="00CC77B6">
        <w:rPr>
          <w:lang w:val="en-US"/>
        </w:rPr>
        <w:t>ska</w:t>
      </w:r>
      <w:r w:rsidRPr="00CC77B6">
        <w:t xml:space="preserve">, </w:t>
      </w:r>
      <w:r w:rsidRPr="00CC77B6">
        <w:rPr>
          <w:lang w:val="en-US"/>
        </w:rPr>
        <w:t>Koper</w:t>
      </w:r>
      <w:r w:rsidRPr="00CC77B6">
        <w:t xml:space="preserve">, </w:t>
      </w:r>
      <w:r w:rsidRPr="00CC77B6">
        <w:rPr>
          <w:lang w:val="en-US"/>
        </w:rPr>
        <w:t>Piechal</w:t>
      </w:r>
      <w:r w:rsidRPr="00CC77B6">
        <w:t xml:space="preserve">, </w:t>
      </w:r>
      <w:r w:rsidRPr="00CC77B6">
        <w:rPr>
          <w:lang w:val="en-US"/>
        </w:rPr>
        <w:t>Kemona</w:t>
      </w:r>
      <w:r>
        <w:t>, 2017).</w:t>
      </w:r>
    </w:p>
    <w:p w:rsidR="009559DE" w:rsidRDefault="009559DE" w:rsidP="009559DE">
      <w:pPr>
        <w:pStyle w:val="a6"/>
        <w:keepNext/>
      </w:pPr>
      <w:bookmarkStart w:id="22" w:name="_Toc57241660"/>
      <w:r>
        <w:lastRenderedPageBreak/>
        <w:t xml:space="preserve">Εικόνα </w:t>
      </w:r>
      <w:r w:rsidR="0079502A">
        <w:fldChar w:fldCharType="begin"/>
      </w:r>
      <w:r w:rsidR="0079502A">
        <w:instrText xml:space="preserve"> SEQ Εικόνα \* ARABIC </w:instrText>
      </w:r>
      <w:r w:rsidR="0079502A">
        <w:fldChar w:fldCharType="separate"/>
      </w:r>
      <w:r>
        <w:rPr>
          <w:noProof/>
        </w:rPr>
        <w:t>2</w:t>
      </w:r>
      <w:r w:rsidR="0079502A">
        <w:rPr>
          <w:noProof/>
        </w:rPr>
        <w:fldChar w:fldCharType="end"/>
      </w:r>
      <w:r>
        <w:t>: Παρουσίαση υγιούς και επηρεασμένου από ΠΣ ανθρώπινου νεύρου</w:t>
      </w:r>
      <w:bookmarkEnd w:id="22"/>
    </w:p>
    <w:p w:rsidR="009559DE" w:rsidRDefault="00936974" w:rsidP="009559DE">
      <w:pPr>
        <w:rPr>
          <w:lang w:val="en-US"/>
        </w:rPr>
      </w:pPr>
      <w:r>
        <w:rPr>
          <w:noProof/>
        </w:rPr>
      </w:r>
      <w:r w:rsidR="0093697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ultiple sclerosis or MS. autoimmune disease. the nerves of the brain and spinal cord are damaged by one" style="width:346.25pt;height:243.5pt">
            <v:imagedata r:id="rId10" r:href="rId11"/>
          </v:shape>
        </w:pict>
      </w:r>
    </w:p>
    <w:p w:rsidR="00377738" w:rsidRDefault="00377738" w:rsidP="00CC77B6">
      <w:pPr>
        <w:rPr>
          <w:rStyle w:val="tlid-translation"/>
        </w:rPr>
      </w:pPr>
      <w:r>
        <w:rPr>
          <w:rStyle w:val="tlid-translation"/>
        </w:rPr>
        <w:t xml:space="preserve">Στην πλειονότητα των ασθενών, η σκλήρυνση κατά πλάκας ξεκινά με μια υποτροπιάζουσα πορεία απομάκρυνσης (RRMS), η οποία μπορεί αργότερα να μετατραπεί σε δευτερογενή προοδευτική νόσο (SPMS). Σε μια μειοψηφία ασθενών παραλείπεται η υποτροπιάζουσα επαναληπτική νόσος και οι ασθενείς εμφανίζουν πρόοδο από την αρχή (πρωτογενής προοδευτική σκλήρυνση κατά πλάκας, PPMS). Τα αποδεικτικά στοιχεία που έχουν ληφθεί μέχρι στιγμής δείχνουν σημαντικές διαφορές μεταξύ RRMS και προοδευτικής MS, αλλά δεν υπάρχουν ουσιαστικές διαφορές μεταξύ SPMS και PPMS, με εξαίρεση μια χαμηλότερη επίπτωση στο παγκόσμιο φορτίο των εστιακών λευκών υλικών βλαβών και ιδίως παρουσία κλασικών ενεργών πλακών στην PPMS </w:t>
      </w:r>
      <w:r w:rsidRPr="00377738">
        <w:rPr>
          <w:rStyle w:val="tlid-translation"/>
        </w:rPr>
        <w:t>(</w:t>
      </w:r>
      <w:r>
        <w:rPr>
          <w:rStyle w:val="tlid-translation"/>
          <w:lang w:val="en-US"/>
        </w:rPr>
        <w:t>Lassmann</w:t>
      </w:r>
      <w:r w:rsidRPr="00377738">
        <w:rPr>
          <w:rStyle w:val="tlid-translation"/>
        </w:rPr>
        <w:t>, 2018)</w:t>
      </w:r>
      <w:r>
        <w:rPr>
          <w:rStyle w:val="tlid-translation"/>
        </w:rPr>
        <w:t>.</w:t>
      </w:r>
    </w:p>
    <w:p w:rsidR="00C2030B" w:rsidRPr="00377738" w:rsidRDefault="00C2030B" w:rsidP="00CC77B6">
      <w:pPr>
        <w:rPr>
          <w:lang w:eastAsia="el-GR"/>
        </w:rPr>
      </w:pPr>
    </w:p>
    <w:p w:rsidR="002C5501" w:rsidRDefault="00A50CA8" w:rsidP="00C2030B">
      <w:pPr>
        <w:pStyle w:val="2"/>
      </w:pPr>
      <w:bookmarkStart w:id="23" w:name="_Toc57241627"/>
      <w:r w:rsidRPr="00A50CA8">
        <w:rPr>
          <w:lang w:eastAsia="el-GR"/>
        </w:rPr>
        <w:t xml:space="preserve">2.5.1 </w:t>
      </w:r>
      <w:r w:rsidR="00DF7278" w:rsidRPr="00A50CA8">
        <w:t>Υποτροπιάζουσα Διαλείπουσα Μορφή</w:t>
      </w:r>
      <w:r w:rsidR="00CC77B6">
        <w:t xml:space="preserve"> (</w:t>
      </w:r>
      <w:proofErr w:type="spellStart"/>
      <w:r w:rsidR="00C2030B">
        <w:t>Relapsing</w:t>
      </w:r>
      <w:proofErr w:type="spellEnd"/>
      <w:r w:rsidR="00C2030B">
        <w:t xml:space="preserve"> </w:t>
      </w:r>
      <w:proofErr w:type="spellStart"/>
      <w:r w:rsidR="00C2030B">
        <w:t>remitting</w:t>
      </w:r>
      <w:proofErr w:type="spellEnd"/>
      <w:r w:rsidR="00C2030B">
        <w:t xml:space="preserve"> MS- </w:t>
      </w:r>
      <w:r w:rsidR="00CC77B6">
        <w:rPr>
          <w:lang w:val="en-US"/>
        </w:rPr>
        <w:t>RRMS</w:t>
      </w:r>
      <w:r w:rsidR="00CC77B6" w:rsidRPr="00CC77B6">
        <w:t>)</w:t>
      </w:r>
      <w:bookmarkEnd w:id="23"/>
    </w:p>
    <w:p w:rsidR="002C5501" w:rsidRPr="006A7992" w:rsidRDefault="002C5501" w:rsidP="00F83D91">
      <w:r w:rsidRPr="002C5501">
        <w:rPr>
          <w:rStyle w:val="tlid-translation"/>
        </w:rPr>
        <w:t xml:space="preserve">Η </w:t>
      </w:r>
      <w:r>
        <w:rPr>
          <w:rStyle w:val="tlid-translation"/>
        </w:rPr>
        <w:t xml:space="preserve">RRMS είναι η πιο κοινή μορφή σκλήρυνσης κατά πλάκας, με περίπου 85% των προσβεβλημένων ατόμων να διαγιγνώσκονται σε αυτό το στάδιο. Χαρακτηρίζεται από σαφώς καθορισμένες υποτροπές ή επιθέσεις νευρολογικών συμπτωμάτων. Μεταξύ των επιθέσεων, υπάρχει μια περίοδος πλήρους ανάρρωσης ή ύφεσης κατά τη διάρκεια της οποίας όλα τα σημεία και τα συμπτώματα μπορεί να εξαφανιστούν ή ορισμένα σημάδια μπορεί να συνεχιστούν καθώς η εξέλιξη της νόσου απουσιάζει. Τα όσα νέα συμπτώματα που εμφανίζονται κατά τη διάρκεια μιας υποτροπής προκαλούνται από νέες βλάβες στον εγκέφαλο και μπορεί να </w:t>
      </w:r>
      <w:r>
        <w:rPr>
          <w:rStyle w:val="tlid-translation"/>
        </w:rPr>
        <w:lastRenderedPageBreak/>
        <w:t xml:space="preserve">σταματήσουν χωρίς να αυξηθεί το επίπεδο αναπηρίας του ατόμου. Ωστόσο, νέες βλάβες μπορούν να εντοπιστούν κατά τη διάρκεια της μαγνητικής τομογραφίας ακόμα και όταν ο ασθενής είναι </w:t>
      </w:r>
      <w:proofErr w:type="spellStart"/>
      <w:r>
        <w:rPr>
          <w:rStyle w:val="tlid-translation"/>
        </w:rPr>
        <w:t>ασυμπτωματικός</w:t>
      </w:r>
      <w:proofErr w:type="spellEnd"/>
      <w:r w:rsidR="009873B9" w:rsidRPr="009873B9">
        <w:rPr>
          <w:rStyle w:val="tlid-translation"/>
        </w:rPr>
        <w:t xml:space="preserve"> (</w:t>
      </w:r>
      <w:r w:rsidR="009873B9" w:rsidRPr="009873B9">
        <w:rPr>
          <w:lang w:val="en-US"/>
        </w:rPr>
        <w:t>Goldenberg</w:t>
      </w:r>
      <w:r w:rsidR="009873B9" w:rsidRPr="009873B9">
        <w:t>, 2012).</w:t>
      </w:r>
    </w:p>
    <w:p w:rsidR="00C2030B" w:rsidRPr="00C2030B" w:rsidRDefault="00C2030B" w:rsidP="00C2030B">
      <w:pPr>
        <w:pStyle w:val="a6"/>
        <w:keepNext/>
        <w:jc w:val="center"/>
      </w:pPr>
      <w:bookmarkStart w:id="24" w:name="_Toc57241661"/>
      <w:r>
        <w:t xml:space="preserve">Εικόνα </w:t>
      </w:r>
      <w:r w:rsidR="0079502A">
        <w:fldChar w:fldCharType="begin"/>
      </w:r>
      <w:r w:rsidR="0079502A">
        <w:instrText xml:space="preserve"> SEQ Εικόνα \* ARABIC </w:instrText>
      </w:r>
      <w:r w:rsidR="0079502A">
        <w:fldChar w:fldCharType="separate"/>
      </w:r>
      <w:r w:rsidR="009559DE">
        <w:rPr>
          <w:noProof/>
        </w:rPr>
        <w:t>3</w:t>
      </w:r>
      <w:r w:rsidR="0079502A">
        <w:rPr>
          <w:noProof/>
        </w:rPr>
        <w:fldChar w:fldCharType="end"/>
      </w:r>
      <w:r>
        <w:t xml:space="preserve">: Συσχέτιση αναπηρίας και χρόνου υποτροπών </w:t>
      </w:r>
      <w:r>
        <w:rPr>
          <w:lang w:val="en-US"/>
        </w:rPr>
        <w:t>RRMS</w:t>
      </w:r>
      <w:bookmarkEnd w:id="24"/>
    </w:p>
    <w:p w:rsidR="00C2030B" w:rsidRDefault="00936974" w:rsidP="00C2030B">
      <w:pPr>
        <w:ind w:firstLine="0"/>
        <w:jc w:val="center"/>
      </w:pPr>
      <w:r>
        <w:rPr>
          <w:noProof/>
        </w:rPr>
      </w:r>
      <w:r w:rsidR="00936974">
        <w:rPr>
          <w:noProof/>
        </w:rPr>
        <w:pict>
          <v:shape id="_x0000_i1026" type="#_x0000_t75" alt="Graph of relapsing remitting MS" style="width:235.25pt;height:191.8pt">
            <v:imagedata r:id="rId12" r:href="rId13"/>
          </v:shape>
        </w:pict>
      </w:r>
    </w:p>
    <w:p w:rsidR="00C2030B" w:rsidRPr="009559DE" w:rsidRDefault="00C2030B" w:rsidP="00C2030B">
      <w:pPr>
        <w:ind w:firstLine="0"/>
        <w:jc w:val="center"/>
        <w:rPr>
          <w:sz w:val="22"/>
        </w:rPr>
      </w:pPr>
      <w:r w:rsidRPr="009559DE">
        <w:rPr>
          <w:sz w:val="22"/>
        </w:rPr>
        <w:t xml:space="preserve">Πηγή: </w:t>
      </w:r>
      <w:hyperlink r:id="rId14" w:history="1">
        <w:r w:rsidR="009559DE" w:rsidRPr="004C651F">
          <w:rPr>
            <w:rStyle w:val="-"/>
            <w:sz w:val="22"/>
          </w:rPr>
          <w:t>https://www.mstrust.org.uk/about-ms/what-ms/types-ms</w:t>
        </w:r>
      </w:hyperlink>
      <w:r w:rsidR="009559DE">
        <w:rPr>
          <w:sz w:val="22"/>
        </w:rPr>
        <w:t xml:space="preserve"> (2020)</w:t>
      </w:r>
    </w:p>
    <w:p w:rsidR="00C2030B" w:rsidRDefault="00C2030B" w:rsidP="00C2030B">
      <w:pPr>
        <w:ind w:firstLine="0"/>
        <w:jc w:val="center"/>
      </w:pPr>
    </w:p>
    <w:p w:rsidR="00F83D91" w:rsidRPr="00C2030B" w:rsidRDefault="00C2030B" w:rsidP="00F83D91">
      <w:pPr>
        <w:rPr>
          <w:rStyle w:val="tlid-translation"/>
        </w:rPr>
      </w:pPr>
      <w:r>
        <w:rPr>
          <w:rStyle w:val="tlid-translation"/>
        </w:rPr>
        <w:t xml:space="preserve">Οι υποτροπές είναι επεισόδια νέων ή επιδεινούμενων συμπτωμάτων που διαρκούν τουλάχιστον 24 ώρες, αλλά συνήθως οτιδήποτε από μερικές ημέρες έως αρκετές εβδομάδες ή μήνες. Ορισμένες υποτροπές είναι σχετικά ήπιες, αλλά μερικές είναι πιο σοβαρές. Τα συμπτώματα συνήθως βελτιώνονται και μπορεί να εξαφανιστούν εντελώς καθώς το σώμα αντιδρά. Οι υποτροπές μπορούν να αντιμετωπιστούν με </w:t>
      </w:r>
      <w:proofErr w:type="spellStart"/>
      <w:r>
        <w:rPr>
          <w:rStyle w:val="tlid-translation"/>
        </w:rPr>
        <w:t>στεροειδή</w:t>
      </w:r>
      <w:proofErr w:type="spellEnd"/>
      <w:r>
        <w:rPr>
          <w:rStyle w:val="tlid-translation"/>
        </w:rPr>
        <w:t xml:space="preserve"> τις πρώτες ημέρες για να επιταχυνθεί η ανάρρωση. Κάθε υποτροπή είναι διαφορετική και δεν είναι δυνατό να προβλεφθεί πότε θα συμβούν υποτροπές ή πόσο συχνά. Η συχνότητα των υποτροπών, η σοβαρότητα των συμπτωμάτων και η διάρκεια του χάσματος μεταξύ των επιθέσεων είναι απρόβλεπτα. Ομοίως, μπορεί μερικές φορές να είναι δύσκολο να προσδιοριστεί τι είναι η διακύμανση των συμπτωμάτων (καθημερινή επιδείνωση ή βελτίωση) και τι είναι υποτροπή. Κατά μέσο όρο, τα άτομα με υποτροπιάζουσα MS έχουν μία ή δύο επιθέσεις το χρόνο. Αν και η ανάρρωση από υποτροπές μπορεί να γίνει λιγότερο πλήρης, το επίπεδο αναπηρίας θα παραμείνει σε μεγάλο βαθμό σταθερό μεταξύ των υποτροπών. </w:t>
      </w:r>
    </w:p>
    <w:p w:rsidR="00C2030B" w:rsidRDefault="00C2030B" w:rsidP="00A50CA8">
      <w:pPr>
        <w:pStyle w:val="3"/>
      </w:pPr>
    </w:p>
    <w:p w:rsidR="00CC77B6" w:rsidRDefault="00A50CA8" w:rsidP="00A50CA8">
      <w:pPr>
        <w:pStyle w:val="3"/>
        <w:rPr>
          <w:rStyle w:val="tlid-translation"/>
        </w:rPr>
      </w:pPr>
      <w:bookmarkStart w:id="25" w:name="_Toc57241628"/>
      <w:r w:rsidRPr="00A50CA8">
        <w:t xml:space="preserve">2.5.2 </w:t>
      </w:r>
      <w:r w:rsidR="00CC77B6">
        <w:rPr>
          <w:rStyle w:val="tlid-translation"/>
        </w:rPr>
        <w:t>Δευτερογενής προοδευτική</w:t>
      </w:r>
      <w:r w:rsidR="00377738">
        <w:rPr>
          <w:rStyle w:val="tlid-translation"/>
        </w:rPr>
        <w:t xml:space="preserve"> πολλαπλή</w:t>
      </w:r>
      <w:r w:rsidR="00CC77B6">
        <w:rPr>
          <w:rStyle w:val="tlid-translation"/>
        </w:rPr>
        <w:t xml:space="preserve"> σκλήρυνσ</w:t>
      </w:r>
      <w:r w:rsidR="00377738">
        <w:rPr>
          <w:rStyle w:val="tlid-translation"/>
        </w:rPr>
        <w:t>η</w:t>
      </w:r>
      <w:r w:rsidR="00CC77B6">
        <w:rPr>
          <w:rStyle w:val="tlid-translation"/>
        </w:rPr>
        <w:t xml:space="preserve"> (</w:t>
      </w:r>
      <w:r w:rsidR="00055FF5">
        <w:rPr>
          <w:rStyle w:val="tlid-translation"/>
          <w:lang w:val="en-US"/>
        </w:rPr>
        <w:t>Secondary</w:t>
      </w:r>
      <w:r w:rsidR="00055FF5" w:rsidRPr="00055FF5">
        <w:rPr>
          <w:rStyle w:val="tlid-translation"/>
        </w:rPr>
        <w:t xml:space="preserve"> </w:t>
      </w:r>
      <w:r w:rsidR="00055FF5">
        <w:rPr>
          <w:rStyle w:val="tlid-translation"/>
          <w:lang w:val="en-US"/>
        </w:rPr>
        <w:t>Progressive</w:t>
      </w:r>
      <w:r w:rsidR="00055FF5" w:rsidRPr="00055FF5">
        <w:rPr>
          <w:rStyle w:val="tlid-translation"/>
        </w:rPr>
        <w:t xml:space="preserve"> </w:t>
      </w:r>
      <w:r w:rsidR="00055FF5">
        <w:rPr>
          <w:rStyle w:val="tlid-translation"/>
          <w:lang w:val="en-US"/>
        </w:rPr>
        <w:t>SM</w:t>
      </w:r>
      <w:r w:rsidR="00055FF5" w:rsidRPr="00055FF5">
        <w:rPr>
          <w:rStyle w:val="tlid-translation"/>
        </w:rPr>
        <w:t xml:space="preserve">- </w:t>
      </w:r>
      <w:r w:rsidR="00CC77B6">
        <w:rPr>
          <w:rStyle w:val="tlid-translation"/>
        </w:rPr>
        <w:t>SPSM)</w:t>
      </w:r>
      <w:bookmarkEnd w:id="25"/>
    </w:p>
    <w:p w:rsidR="002C5501" w:rsidRDefault="002C5501" w:rsidP="002C5501">
      <w:r>
        <w:rPr>
          <w:rStyle w:val="tlid-translation"/>
        </w:rPr>
        <w:t>Η SPMS είναι ένας τύπος ΣΚΠ στον οποίο υπάρχει μείωση της διάρκειας ύφεσης μεταξύ επιθέσεων και η κατάσταση εξελίσσεται σταθερά. Σε περίπου 50% των ασθενών με σκλήρυνση κατά πλάκας, η ασθένεια σταδιακά επιδεινώνεται σε SPMS εντός 10 έως 20 ετών από τη διάγνωση RRMS. Αυτό οφείλεται σε προοδευτική βλάβη στις νευρικές ίνες που επηρεάζουν τη νευρολογική λειτουργία και αυτή η βλάβη οδηγεί συχνά σε αυξημένα επίπεδα αναπηρίας με την πάροδο του χρόνου. Σε ορισμένα άτομα με SPMS, οι περιστασιακές περίοδοι σταθερότητας είναι συχνές. Το SPMS μπορεί να είναι δύσκολο να διαγνωστεί και οι νευρολόγοι συχνά αναζητούν τουλάχιστον έξι μήνες εξέλιξης της νόσου προτού επιβεβαιώσουν αυτή τη μορφή της νόσου</w:t>
      </w:r>
      <w:r w:rsidR="009873B9" w:rsidRPr="009873B9">
        <w:rPr>
          <w:rStyle w:val="tlid-translation"/>
        </w:rPr>
        <w:t xml:space="preserve"> (</w:t>
      </w:r>
      <w:r w:rsidR="009873B9" w:rsidRPr="009873B9">
        <w:rPr>
          <w:lang w:val="en-US"/>
        </w:rPr>
        <w:t>Goldenberg</w:t>
      </w:r>
      <w:r w:rsidR="009873B9" w:rsidRPr="009873B9">
        <w:t>, 2012).</w:t>
      </w:r>
    </w:p>
    <w:p w:rsidR="002C5501" w:rsidRPr="002C5501" w:rsidRDefault="002C5501" w:rsidP="002C5501"/>
    <w:p w:rsidR="00DF7278" w:rsidRDefault="00CC77B6" w:rsidP="00CC77B6">
      <w:pPr>
        <w:pStyle w:val="3"/>
        <w:rPr>
          <w:rStyle w:val="tlid-translation"/>
        </w:rPr>
      </w:pPr>
      <w:bookmarkStart w:id="26" w:name="_Toc57241629"/>
      <w:r>
        <w:t xml:space="preserve">2.5.3 </w:t>
      </w:r>
      <w:r w:rsidR="00DF7278" w:rsidRPr="00A50CA8">
        <w:t>Πρωτεύουσα Προοδευτική Μορφή της ΣΚΠ</w:t>
      </w:r>
      <w:r w:rsidR="00377738">
        <w:t xml:space="preserve"> </w:t>
      </w:r>
      <w:r>
        <w:rPr>
          <w:rStyle w:val="tlid-translation"/>
        </w:rPr>
        <w:t>(</w:t>
      </w:r>
      <w:r w:rsidR="00055FF5">
        <w:rPr>
          <w:rStyle w:val="tlid-translation"/>
          <w:lang w:val="en-US"/>
        </w:rPr>
        <w:t>Primary</w:t>
      </w:r>
      <w:r w:rsidR="00055FF5" w:rsidRPr="00055FF5">
        <w:rPr>
          <w:rStyle w:val="tlid-translation"/>
        </w:rPr>
        <w:t xml:space="preserve"> </w:t>
      </w:r>
      <w:r w:rsidR="00055FF5">
        <w:rPr>
          <w:rStyle w:val="tlid-translation"/>
          <w:lang w:val="en-US"/>
        </w:rPr>
        <w:t>Progressive</w:t>
      </w:r>
      <w:r w:rsidR="00055FF5" w:rsidRPr="00055FF5">
        <w:rPr>
          <w:rStyle w:val="tlid-translation"/>
        </w:rPr>
        <w:t xml:space="preserve"> </w:t>
      </w:r>
      <w:r w:rsidR="00055FF5">
        <w:rPr>
          <w:rStyle w:val="tlid-translation"/>
          <w:lang w:val="en-US"/>
        </w:rPr>
        <w:t>MS</w:t>
      </w:r>
      <w:r w:rsidR="00055FF5" w:rsidRPr="00055FF5">
        <w:rPr>
          <w:rStyle w:val="tlid-translation"/>
        </w:rPr>
        <w:t xml:space="preserve">- </w:t>
      </w:r>
      <w:r>
        <w:rPr>
          <w:rStyle w:val="tlid-translation"/>
        </w:rPr>
        <w:t>PPMS)</w:t>
      </w:r>
      <w:bookmarkEnd w:id="26"/>
    </w:p>
    <w:p w:rsidR="002C5501" w:rsidRPr="006A7992" w:rsidRDefault="002C5501" w:rsidP="002C5501">
      <w:r>
        <w:rPr>
          <w:rStyle w:val="tlid-translation"/>
        </w:rPr>
        <w:t>Η PPMS εμφανίζεται μόνο σε περίπου 10-15% των ατόμων με σκλήρυνση κατά πλάκας. Χαρακτηρίζεται από επιδείνωση των συμπτωμάτων και αργή αύξηση των επιπέδων αναπηρίας. Μπορεί να υπάρχουν σύντομες περίοδοι σταθερότητας και ακόμη και κάποια βελτίωση, αλλά χωρίς ύφεση ή επιθέσεις.</w:t>
      </w:r>
      <w:r w:rsidR="009873B9" w:rsidRPr="009873B9">
        <w:rPr>
          <w:rStyle w:val="tlid-translation"/>
        </w:rPr>
        <w:t xml:space="preserve"> </w:t>
      </w:r>
      <w:r w:rsidR="009873B9">
        <w:rPr>
          <w:rStyle w:val="tlid-translation"/>
        </w:rPr>
        <w:t>Αυτή η μορφή σκλήρυνσης κατά πλάκας είναι πιο ανθεκτική στα φάρμακα που χρησιμοποιούνται συνήθως για τη θεραπεία της νόσου</w:t>
      </w:r>
      <w:r w:rsidR="009873B9" w:rsidRPr="009873B9">
        <w:rPr>
          <w:rStyle w:val="tlid-translation"/>
        </w:rPr>
        <w:t xml:space="preserve"> (</w:t>
      </w:r>
      <w:r w:rsidR="009873B9" w:rsidRPr="009873B9">
        <w:rPr>
          <w:lang w:val="en-US"/>
        </w:rPr>
        <w:t>Goldenberg</w:t>
      </w:r>
      <w:r w:rsidR="009873B9" w:rsidRPr="009873B9">
        <w:t>, 2012).</w:t>
      </w:r>
    </w:p>
    <w:p w:rsidR="000060D1" w:rsidRDefault="000060D1" w:rsidP="000060D1">
      <w:pPr>
        <w:pStyle w:val="a6"/>
        <w:keepNext/>
        <w:jc w:val="center"/>
      </w:pPr>
      <w:bookmarkStart w:id="27" w:name="_Toc57241662"/>
      <w:r>
        <w:lastRenderedPageBreak/>
        <w:t xml:space="preserve">Εικόνα </w:t>
      </w:r>
      <w:r w:rsidR="0079502A">
        <w:fldChar w:fldCharType="begin"/>
      </w:r>
      <w:r w:rsidR="0079502A">
        <w:instrText xml:space="preserve"> SEQ Εικόνα \* ARABIC </w:instrText>
      </w:r>
      <w:r w:rsidR="0079502A">
        <w:fldChar w:fldCharType="separate"/>
      </w:r>
      <w:r w:rsidR="009559DE">
        <w:rPr>
          <w:noProof/>
        </w:rPr>
        <w:t>4</w:t>
      </w:r>
      <w:r w:rsidR="0079502A">
        <w:rPr>
          <w:noProof/>
        </w:rPr>
        <w:fldChar w:fldCharType="end"/>
      </w:r>
      <w:r>
        <w:t xml:space="preserve">: Συσχέτιση αναπηρίας και χρόνου υποτροπών </w:t>
      </w:r>
      <w:r>
        <w:rPr>
          <w:lang w:val="en-US"/>
        </w:rPr>
        <w:t>PPMS</w:t>
      </w:r>
      <w:bookmarkEnd w:id="27"/>
    </w:p>
    <w:p w:rsidR="000060D1" w:rsidRDefault="00936974" w:rsidP="000060D1">
      <w:pPr>
        <w:ind w:firstLine="0"/>
        <w:jc w:val="center"/>
        <w:rPr>
          <w:lang w:val="en-US"/>
        </w:rPr>
      </w:pPr>
      <w:r>
        <w:rPr>
          <w:noProof/>
        </w:rPr>
      </w:r>
      <w:r w:rsidR="00936974">
        <w:rPr>
          <w:noProof/>
        </w:rPr>
        <w:pict>
          <v:shape id="_x0000_i1027" type="#_x0000_t75" alt="Graph of primary progressive MS" style="width:235.25pt;height:191.8pt">
            <v:imagedata r:id="rId15" r:href="rId16"/>
          </v:shape>
        </w:pict>
      </w:r>
    </w:p>
    <w:p w:rsidR="000060D1" w:rsidRPr="009559DE" w:rsidRDefault="000060D1" w:rsidP="000060D1">
      <w:pPr>
        <w:ind w:firstLine="0"/>
        <w:jc w:val="center"/>
        <w:rPr>
          <w:sz w:val="22"/>
        </w:rPr>
      </w:pPr>
      <w:r w:rsidRPr="009559DE">
        <w:rPr>
          <w:sz w:val="22"/>
        </w:rPr>
        <w:t xml:space="preserve">Πηγή: </w:t>
      </w:r>
      <w:hyperlink r:id="rId17" w:history="1">
        <w:r w:rsidR="009559DE" w:rsidRPr="009559DE">
          <w:rPr>
            <w:rStyle w:val="-"/>
            <w:sz w:val="22"/>
          </w:rPr>
          <w:t>https://www.mstrust.org.uk/about-ms/what-ms/types-ms</w:t>
        </w:r>
      </w:hyperlink>
      <w:r w:rsidR="009559DE" w:rsidRPr="009559DE">
        <w:rPr>
          <w:sz w:val="22"/>
        </w:rPr>
        <w:t xml:space="preserve"> (2020)</w:t>
      </w:r>
    </w:p>
    <w:p w:rsidR="000060D1" w:rsidRPr="000060D1" w:rsidRDefault="000060D1" w:rsidP="000060D1">
      <w:pPr>
        <w:ind w:firstLine="0"/>
        <w:jc w:val="center"/>
        <w:rPr>
          <w:b/>
        </w:rPr>
      </w:pPr>
    </w:p>
    <w:p w:rsidR="000060D1" w:rsidRPr="009873B9" w:rsidRDefault="000060D1" w:rsidP="000060D1">
      <w:pPr>
        <w:rPr>
          <w:rStyle w:val="tlid-translation"/>
        </w:rPr>
      </w:pPr>
      <w:r>
        <w:rPr>
          <w:rStyle w:val="tlid-translation"/>
        </w:rPr>
        <w:t>Μελέτες που παρακολούθησαν άτομα με σκλήρυνση κατά πλάκας για μεγάλο χρονικό διάστημα υποδηλώνουν ότι μετά από 19 χρόνια, τα μισά άτομα που είχαν διαγνωστεί με υποτροπιάζουσα σκλήρυνση κατά πλάκας θα έχουν αναπτύξει δευτερογενή προοδευτική σκλήρυνση κατά πλάκας. «Προοδευτική» είναι η λέξη που χρησιμοποιείται για να περιγράψει την αλλαγή προς αύξηση της αναπηρίας στους ασθενείς. Παρόλο που η αναπηρία αυξάνεται στην προοδευτική σκλήρυνση κατά πλάκας, ο ρυθμός με τον οποίο αυτό συμβαίνει ποικίλλει από άτομο σε άτομο.</w:t>
      </w:r>
    </w:p>
    <w:p w:rsidR="000060D1" w:rsidRPr="000060D1" w:rsidRDefault="000060D1" w:rsidP="002C5501"/>
    <w:p w:rsidR="00CC77B6" w:rsidRDefault="00CC77B6" w:rsidP="00055FF5">
      <w:pPr>
        <w:pStyle w:val="3"/>
        <w:rPr>
          <w:rStyle w:val="tlid-translation"/>
        </w:rPr>
      </w:pPr>
      <w:bookmarkStart w:id="28" w:name="_Toc57241630"/>
      <w:r>
        <w:rPr>
          <w:rStyle w:val="tlid-translation"/>
        </w:rPr>
        <w:t>2.5.4 Προοδευτική</w:t>
      </w:r>
      <w:r w:rsidR="009873B9">
        <w:rPr>
          <w:rStyle w:val="tlid-translation"/>
        </w:rPr>
        <w:t xml:space="preserve"> υποτροπιάζουσα </w:t>
      </w:r>
      <w:r w:rsidR="00377738">
        <w:rPr>
          <w:rStyle w:val="tlid-translation"/>
        </w:rPr>
        <w:t xml:space="preserve">πολλαπλή </w:t>
      </w:r>
      <w:r w:rsidR="00377738" w:rsidRPr="00055FF5">
        <w:rPr>
          <w:rStyle w:val="tlid-translation"/>
        </w:rPr>
        <w:t>σκλήρυνση</w:t>
      </w:r>
      <w:r w:rsidR="002C5501" w:rsidRPr="00055FF5">
        <w:rPr>
          <w:rStyle w:val="tlid-translation"/>
        </w:rPr>
        <w:t xml:space="preserve"> (</w:t>
      </w:r>
      <w:proofErr w:type="spellStart"/>
      <w:r w:rsidR="00055FF5" w:rsidRPr="00055FF5">
        <w:t>Progressive-relapsing</w:t>
      </w:r>
      <w:proofErr w:type="spellEnd"/>
      <w:r w:rsidR="00055FF5" w:rsidRPr="00055FF5">
        <w:t xml:space="preserve"> MS- </w:t>
      </w:r>
      <w:r w:rsidR="00055FF5">
        <w:rPr>
          <w:rStyle w:val="tlid-translation"/>
        </w:rPr>
        <w:t xml:space="preserve"> </w:t>
      </w:r>
      <w:r w:rsidR="002C5501">
        <w:rPr>
          <w:rStyle w:val="tlid-translation"/>
        </w:rPr>
        <w:t>RPMS)</w:t>
      </w:r>
      <w:bookmarkEnd w:id="28"/>
    </w:p>
    <w:p w:rsidR="002C5501" w:rsidRPr="006A7992" w:rsidRDefault="002C5501" w:rsidP="002C5501">
      <w:r>
        <w:rPr>
          <w:rStyle w:val="tlid-translation"/>
        </w:rPr>
        <w:t xml:space="preserve">Η PRMS είναι </w:t>
      </w:r>
      <w:r w:rsidR="00055FF5">
        <w:rPr>
          <w:rStyle w:val="tlid-translation"/>
        </w:rPr>
        <w:t>ο</w:t>
      </w:r>
      <w:r>
        <w:rPr>
          <w:rStyle w:val="tlid-translation"/>
        </w:rPr>
        <w:t xml:space="preserve"> πιο σπάνιος από όλους τους τύπους </w:t>
      </w:r>
      <w:r w:rsidR="00055FF5">
        <w:rPr>
          <w:rStyle w:val="tlid-translation"/>
          <w:lang w:val="en-US"/>
        </w:rPr>
        <w:t>MS</w:t>
      </w:r>
      <w:r>
        <w:rPr>
          <w:rStyle w:val="tlid-translation"/>
        </w:rPr>
        <w:t xml:space="preserve"> και εμφανίζεται σε περίπου 5% των ασθενών με την πάθηση. Σε ασθενείς με αυτή τη μορφή σκλήρυνσης κατά πλάκας, η ασθένεια επιδεινώνεται σταθερά από τη στιγμή της διάγνωσης και οι άνθρωποι βιώνουν επιθέσεις και συμπτώματα με ή </w:t>
      </w:r>
      <w:r w:rsidR="009873B9">
        <w:rPr>
          <w:rStyle w:val="tlid-translation"/>
        </w:rPr>
        <w:t xml:space="preserve">σπανιότερα </w:t>
      </w:r>
      <w:r>
        <w:rPr>
          <w:rStyle w:val="tlid-translation"/>
        </w:rPr>
        <w:t>χωρίς ύφεση</w:t>
      </w:r>
      <w:r w:rsidR="009873B9" w:rsidRPr="009873B9">
        <w:rPr>
          <w:rStyle w:val="tlid-translation"/>
        </w:rPr>
        <w:t xml:space="preserve"> (</w:t>
      </w:r>
      <w:r w:rsidR="009873B9" w:rsidRPr="009873B9">
        <w:rPr>
          <w:lang w:val="en-US"/>
        </w:rPr>
        <w:t>Goldenberg</w:t>
      </w:r>
      <w:r w:rsidR="009873B9" w:rsidRPr="009873B9">
        <w:t>, 2012).</w:t>
      </w:r>
    </w:p>
    <w:p w:rsidR="000060D1" w:rsidRPr="000060D1" w:rsidRDefault="000060D1" w:rsidP="002C5501">
      <w:pPr>
        <w:rPr>
          <w:rStyle w:val="tlid-translation"/>
        </w:rPr>
      </w:pPr>
    </w:p>
    <w:p w:rsidR="002C5501" w:rsidRPr="009873B9" w:rsidRDefault="002C5501" w:rsidP="002C5501"/>
    <w:p w:rsidR="00DF7278" w:rsidRDefault="00A50CA8" w:rsidP="00A50CA8">
      <w:pPr>
        <w:pStyle w:val="1"/>
        <w:rPr>
          <w:lang w:eastAsia="el-GR"/>
        </w:rPr>
      </w:pPr>
      <w:bookmarkStart w:id="29" w:name="_Toc57241631"/>
      <w:r w:rsidRPr="00A50CA8">
        <w:rPr>
          <w:lang w:eastAsia="el-GR"/>
        </w:rPr>
        <w:lastRenderedPageBreak/>
        <w:t xml:space="preserve">2.6 </w:t>
      </w:r>
      <w:r w:rsidR="00DF7278" w:rsidRPr="00A50CA8">
        <w:rPr>
          <w:lang w:eastAsia="el-GR"/>
        </w:rPr>
        <w:t>Συμπτώματα</w:t>
      </w:r>
      <w:bookmarkEnd w:id="29"/>
    </w:p>
    <w:p w:rsidR="00CC77B6" w:rsidRDefault="00CC77B6" w:rsidP="00CC77B6">
      <w:pPr>
        <w:rPr>
          <w:rStyle w:val="tlid-translation"/>
        </w:rPr>
      </w:pPr>
      <w:r>
        <w:rPr>
          <w:rStyle w:val="tlid-translation"/>
        </w:rPr>
        <w:t xml:space="preserve">Η διάγνωση της σκλήρυνσης κατά πλάκας βασίζεται στα διαγνωστικά κριτήρια της </w:t>
      </w:r>
      <w:proofErr w:type="spellStart"/>
      <w:r>
        <w:rPr>
          <w:rStyle w:val="tlid-translation"/>
        </w:rPr>
        <w:t>McDonald</w:t>
      </w:r>
      <w:proofErr w:type="spellEnd"/>
      <w:r>
        <w:rPr>
          <w:rStyle w:val="tlid-translation"/>
        </w:rPr>
        <w:t xml:space="preserve">, τα οποία συνδέουν την κλινική εκδήλωση με χαρακτηριστικές βλάβες που αποδεικνύονται με απεικόνιση μαγνητικού συντονισμού (MRI), ανάλυση εγκεφαλονωτιαίου υγρού (CSF) και οπτικά προκλητικά δυναμικά. Μεταξύ εργαστηριακών δοκιμών CSF που χρησιμοποιούνται για τη διάγνωση της σκλήρυνσης κατά πλάκας εφαρμόζονται: </w:t>
      </w:r>
      <w:proofErr w:type="spellStart"/>
      <w:r>
        <w:rPr>
          <w:rStyle w:val="tlid-translation"/>
        </w:rPr>
        <w:t>Tibbling</w:t>
      </w:r>
      <w:proofErr w:type="spellEnd"/>
      <w:r>
        <w:rPr>
          <w:rStyle w:val="tlid-translation"/>
        </w:rPr>
        <w:t xml:space="preserve"> &amp; </w:t>
      </w:r>
      <w:proofErr w:type="spellStart"/>
      <w:r>
        <w:rPr>
          <w:rStyle w:val="tlid-translation"/>
        </w:rPr>
        <w:t>Link</w:t>
      </w:r>
      <w:proofErr w:type="spellEnd"/>
      <w:r>
        <w:rPr>
          <w:rStyle w:val="tlid-translation"/>
        </w:rPr>
        <w:t xml:space="preserve"> </w:t>
      </w:r>
      <w:proofErr w:type="spellStart"/>
      <w:r>
        <w:rPr>
          <w:rStyle w:val="tlid-translation"/>
        </w:rPr>
        <w:t>IgG</w:t>
      </w:r>
      <w:proofErr w:type="spellEnd"/>
      <w:r>
        <w:rPr>
          <w:rStyle w:val="tlid-translation"/>
        </w:rPr>
        <w:t xml:space="preserve"> </w:t>
      </w:r>
      <w:proofErr w:type="spellStart"/>
      <w:r>
        <w:rPr>
          <w:rStyle w:val="tlid-translation"/>
        </w:rPr>
        <w:t>index</w:t>
      </w:r>
      <w:proofErr w:type="spellEnd"/>
      <w:r>
        <w:rPr>
          <w:rStyle w:val="tlid-translation"/>
        </w:rPr>
        <w:t xml:space="preserve">, </w:t>
      </w:r>
      <w:proofErr w:type="spellStart"/>
      <w:r>
        <w:rPr>
          <w:rStyle w:val="tlid-translation"/>
        </w:rPr>
        <w:t>reinbegrams</w:t>
      </w:r>
      <w:proofErr w:type="spellEnd"/>
      <w:r>
        <w:rPr>
          <w:rStyle w:val="tlid-translation"/>
        </w:rPr>
        <w:t xml:space="preserve"> και CSF </w:t>
      </w:r>
      <w:proofErr w:type="spellStart"/>
      <w:r>
        <w:rPr>
          <w:rStyle w:val="tlid-translation"/>
        </w:rPr>
        <w:t>isoelectrofocusing</w:t>
      </w:r>
      <w:proofErr w:type="spellEnd"/>
      <w:r>
        <w:rPr>
          <w:rStyle w:val="tlid-translation"/>
        </w:rPr>
        <w:t xml:space="preserve"> για την ανίχνευση </w:t>
      </w:r>
      <w:proofErr w:type="spellStart"/>
      <w:r>
        <w:rPr>
          <w:rStyle w:val="tlid-translation"/>
        </w:rPr>
        <w:t>ολιγοκλωνικών</w:t>
      </w:r>
      <w:proofErr w:type="spellEnd"/>
      <w:r>
        <w:rPr>
          <w:rStyle w:val="tlid-translation"/>
        </w:rPr>
        <w:t xml:space="preserve"> ζωνών. Πρέπει να τονιστεί, ότι παρά την τεράστια πρόοδο όσον αφορά τη σκλήρυνση κατά πλάκας καθώς και τη διαθεσιμότητα διαφορετικών μεθόδων διάγνωσης, αυτή η ασθένεια εξακολουθεί να αποτελεί διαγνωστική πρόκληση. Μπορεί να προκύψει από το γεγονός ότι η σκλήρυνση κατά πλάκας έχει διαφορετική κλινική πορεία και υπάρχει έλλειψη μεμονωμένης εξέτασης, η οποία θα ήταν κατάλληλης διαγνωστικής ευαισθησίας και ειδικότητας για γρήγορη και ακριβή διάγνωση.</w:t>
      </w:r>
      <w:r w:rsidR="00112076" w:rsidRPr="00112076">
        <w:rPr>
          <w:rStyle w:val="tlid-translation"/>
        </w:rPr>
        <w:t xml:space="preserve"> </w:t>
      </w:r>
      <w:r w:rsidR="00112076">
        <w:rPr>
          <w:rStyle w:val="tlid-translation"/>
        </w:rPr>
        <w:t>Τα συμπτώματα της σκλήρυνσης κατά πλάκας είναι πολύπλοκα, μεταβλητά και απρόβλεπτα.</w:t>
      </w:r>
    </w:p>
    <w:p w:rsidR="007E4542" w:rsidRPr="00112076" w:rsidRDefault="007E4542" w:rsidP="00CC77B6">
      <w:pPr>
        <w:rPr>
          <w:lang w:eastAsia="el-GR"/>
        </w:rPr>
      </w:pPr>
    </w:p>
    <w:p w:rsidR="00DF7278" w:rsidRPr="007E4542" w:rsidRDefault="00A50CA8" w:rsidP="00A50CA8">
      <w:pPr>
        <w:pStyle w:val="3"/>
        <w:rPr>
          <w:lang w:eastAsia="el-GR"/>
        </w:rPr>
      </w:pPr>
      <w:bookmarkStart w:id="30" w:name="_Toc57241632"/>
      <w:r w:rsidRPr="00A50CA8">
        <w:rPr>
          <w:lang w:eastAsia="el-GR"/>
        </w:rPr>
        <w:t xml:space="preserve">2.6.1 </w:t>
      </w:r>
      <w:r w:rsidR="007E4542">
        <w:rPr>
          <w:lang w:eastAsia="el-GR"/>
        </w:rPr>
        <w:t>Μυϊκή κ</w:t>
      </w:r>
      <w:r w:rsidR="007E4542" w:rsidRPr="00A50CA8">
        <w:rPr>
          <w:lang w:eastAsia="el-GR"/>
        </w:rPr>
        <w:t>όπωση</w:t>
      </w:r>
      <w:bookmarkEnd w:id="30"/>
    </w:p>
    <w:p w:rsidR="007E4542" w:rsidRPr="00FF0BF2" w:rsidRDefault="007E4542" w:rsidP="007E4542">
      <w:pPr>
        <w:rPr>
          <w:rStyle w:val="tlid-translation"/>
          <w:b/>
        </w:rPr>
      </w:pPr>
      <w:r>
        <w:rPr>
          <w:rStyle w:val="tlid-translation"/>
        </w:rPr>
        <w:t xml:space="preserve">Οι συνέπειες της MS περιλαμβάνουν την καταστροφή της </w:t>
      </w:r>
      <w:proofErr w:type="spellStart"/>
      <w:r>
        <w:rPr>
          <w:rStyle w:val="tlid-translation"/>
        </w:rPr>
        <w:t>μυελίνης</w:t>
      </w:r>
      <w:proofErr w:type="spellEnd"/>
      <w:r>
        <w:rPr>
          <w:rStyle w:val="tlid-translation"/>
        </w:rPr>
        <w:t xml:space="preserve">, των </w:t>
      </w:r>
      <w:proofErr w:type="spellStart"/>
      <w:r>
        <w:rPr>
          <w:rStyle w:val="tlid-translation"/>
        </w:rPr>
        <w:t>ολιγοδενδροκυττάρων</w:t>
      </w:r>
      <w:proofErr w:type="spellEnd"/>
      <w:r>
        <w:rPr>
          <w:rStyle w:val="tlid-translation"/>
        </w:rPr>
        <w:t xml:space="preserve"> και των αξόνων, με αποτέλεσμα την </w:t>
      </w:r>
      <w:proofErr w:type="spellStart"/>
      <w:r>
        <w:rPr>
          <w:rStyle w:val="tlid-translation"/>
        </w:rPr>
        <w:t>απομυελίνωση</w:t>
      </w:r>
      <w:proofErr w:type="spellEnd"/>
      <w:r>
        <w:rPr>
          <w:rStyle w:val="tlid-translation"/>
        </w:rPr>
        <w:t xml:space="preserve"> που θέτει σε κίνδυνο τη λειτουργία των νευρικών ινών με επιβράδυνση της ευκαμψίας της αξονικής αγωγιμότητας και που οδηγεί σε μια ποικιλία </w:t>
      </w:r>
      <w:r w:rsidRPr="00FF0BF2">
        <w:rPr>
          <w:rStyle w:val="tlid-translation"/>
        </w:rPr>
        <w:t>βλαβών.</w:t>
      </w:r>
      <w:r>
        <w:rPr>
          <w:rStyle w:val="tlid-translation"/>
        </w:rPr>
        <w:t xml:space="preserve"> Μία από αυτές τις διαταραχές αφορά τη μείωση της μηχανικής λειτουργίας των μυών (δηλ. την ισομετρική δύναμη, την αντοχή, την ταχεία ανάπτυξη δύναμης και την μυϊκή ισχύ)</w:t>
      </w:r>
      <w:r w:rsidR="00FF0BF2" w:rsidRPr="00FF0BF2">
        <w:rPr>
          <w:rStyle w:val="tlid-translation"/>
        </w:rPr>
        <w:t>.</w:t>
      </w:r>
      <w:r>
        <w:rPr>
          <w:rStyle w:val="tlid-translation"/>
        </w:rPr>
        <w:t xml:space="preserve"> </w:t>
      </w:r>
      <w:r w:rsidRPr="007E4542">
        <w:rPr>
          <w:rStyle w:val="tlid-translation"/>
        </w:rPr>
        <w:t>Τα παραπάνω συμπτώματα</w:t>
      </w:r>
      <w:r>
        <w:rPr>
          <w:rStyle w:val="tlid-translation"/>
        </w:rPr>
        <w:t xml:space="preserve"> αναφέρονται συχνά ως </w:t>
      </w:r>
      <w:proofErr w:type="spellStart"/>
      <w:r>
        <w:rPr>
          <w:rStyle w:val="tlid-translation"/>
        </w:rPr>
        <w:t>PwMS</w:t>
      </w:r>
      <w:proofErr w:type="spellEnd"/>
      <w:r>
        <w:rPr>
          <w:rStyle w:val="tlid-translation"/>
        </w:rPr>
        <w:t xml:space="preserve"> (</w:t>
      </w:r>
      <w:proofErr w:type="spellStart"/>
      <w:r w:rsidRPr="007E4542">
        <w:t>muscle</w:t>
      </w:r>
      <w:proofErr w:type="spellEnd"/>
      <w:r w:rsidRPr="007E4542">
        <w:t xml:space="preserve"> </w:t>
      </w:r>
      <w:proofErr w:type="spellStart"/>
      <w:r w:rsidRPr="007E4542">
        <w:t>power</w:t>
      </w:r>
      <w:proofErr w:type="spellEnd"/>
      <w:r w:rsidRPr="007E4542">
        <w:t xml:space="preserve"> </w:t>
      </w:r>
      <w:r>
        <w:rPr>
          <w:lang w:val="en-US"/>
        </w:rPr>
        <w:t>multiple</w:t>
      </w:r>
      <w:r w:rsidRPr="007E4542">
        <w:t xml:space="preserve"> </w:t>
      </w:r>
      <w:r>
        <w:rPr>
          <w:lang w:val="en-US"/>
        </w:rPr>
        <w:t>sclero</w:t>
      </w:r>
      <w:r w:rsidRPr="00FF0BF2">
        <w:rPr>
          <w:lang w:val="en-US"/>
        </w:rPr>
        <w:t>sis</w:t>
      </w:r>
      <w:r w:rsidR="00FF0BF2" w:rsidRPr="00FF0BF2">
        <w:t xml:space="preserve"> </w:t>
      </w:r>
      <w:r w:rsidR="00FF0BF2" w:rsidRPr="00FF0BF2">
        <w:rPr>
          <w:rStyle w:val="tlid-translation"/>
        </w:rPr>
        <w:t>(</w:t>
      </w:r>
      <w:r w:rsidR="00FF0BF2" w:rsidRPr="00FF0BF2">
        <w:rPr>
          <w:lang w:val="en-US"/>
        </w:rPr>
        <w:t>Hvid</w:t>
      </w:r>
      <w:r w:rsidR="00FF0BF2" w:rsidRPr="00FF0BF2">
        <w:t xml:space="preserve">, </w:t>
      </w:r>
      <w:r w:rsidR="00FF0BF2" w:rsidRPr="00FF0BF2">
        <w:rPr>
          <w:lang w:val="en-US"/>
        </w:rPr>
        <w:t>Suetta</w:t>
      </w:r>
      <w:r w:rsidR="00FF0BF2" w:rsidRPr="00FF0BF2">
        <w:t xml:space="preserve">, </w:t>
      </w:r>
      <w:r w:rsidR="00FF0BF2" w:rsidRPr="00FF0BF2">
        <w:rPr>
          <w:lang w:val="en-US"/>
        </w:rPr>
        <w:t>Nielsen</w:t>
      </w:r>
      <w:r w:rsidR="00FF0BF2" w:rsidRPr="00FF0BF2">
        <w:t xml:space="preserve">, </w:t>
      </w:r>
      <w:r w:rsidR="00FF0BF2" w:rsidRPr="00FF0BF2">
        <w:rPr>
          <w:lang w:val="en-US"/>
        </w:rPr>
        <w:t>Jensen</w:t>
      </w:r>
      <w:r w:rsidR="00FF0BF2" w:rsidRPr="00FF0BF2">
        <w:t xml:space="preserve">, </w:t>
      </w:r>
      <w:r w:rsidR="00FF0BF2" w:rsidRPr="00FF0BF2">
        <w:rPr>
          <w:lang w:val="en-US"/>
        </w:rPr>
        <w:t>Frandsen</w:t>
      </w:r>
      <w:r w:rsidR="00FF0BF2" w:rsidRPr="00FF0BF2">
        <w:t xml:space="preserve"> </w:t>
      </w:r>
      <w:r w:rsidR="00FF0BF2" w:rsidRPr="00FF0BF2">
        <w:rPr>
          <w:lang w:val="en-US"/>
        </w:rPr>
        <w:t>et</w:t>
      </w:r>
      <w:r w:rsidR="00FF0BF2" w:rsidRPr="00FF0BF2">
        <w:t xml:space="preserve"> </w:t>
      </w:r>
      <w:r w:rsidR="00FF0BF2" w:rsidRPr="00FF0BF2">
        <w:rPr>
          <w:lang w:val="en-US"/>
        </w:rPr>
        <w:t>al</w:t>
      </w:r>
      <w:r w:rsidR="00FF0BF2" w:rsidRPr="00FF0BF2">
        <w:t>., 2014).</w:t>
      </w:r>
    </w:p>
    <w:p w:rsidR="007E4542" w:rsidRPr="006A7992" w:rsidRDefault="007E4542" w:rsidP="007F094B">
      <w:r>
        <w:rPr>
          <w:rStyle w:val="tlid-translation"/>
        </w:rPr>
        <w:t>Μελέτες δείχνουν ότι η μειωμένη μυϊκή δύναμη και δύναμη του κάτω άκρου επηρεάζει αρνητικά την απόδοση του</w:t>
      </w:r>
      <w:r w:rsidR="00FF0BF2">
        <w:rPr>
          <w:rStyle w:val="tlid-translation"/>
        </w:rPr>
        <w:t>, την ισορροπία</w:t>
      </w:r>
      <w:r>
        <w:rPr>
          <w:rStyle w:val="tlid-translation"/>
        </w:rPr>
        <w:t xml:space="preserve">, την αναρρίχηση στα σκαλοπάτια και την ικανότητα </w:t>
      </w:r>
      <w:r w:rsidR="00517F07">
        <w:rPr>
          <w:rStyle w:val="tlid-translation"/>
        </w:rPr>
        <w:t>μεταφοράς</w:t>
      </w:r>
      <w:r w:rsidR="002D20DE">
        <w:rPr>
          <w:rStyle w:val="tlid-translation"/>
        </w:rPr>
        <w:t xml:space="preserve"> από καθιστή σε όρθια στάση</w:t>
      </w:r>
      <w:r w:rsidR="00517F07">
        <w:rPr>
          <w:rStyle w:val="tlid-translation"/>
        </w:rPr>
        <w:t>, που αναφέρονται τόσο</w:t>
      </w:r>
      <w:r w:rsidR="00517F07" w:rsidRPr="00517F07">
        <w:rPr>
          <w:rStyle w:val="tlid-translation"/>
        </w:rPr>
        <w:t xml:space="preserve"> </w:t>
      </w:r>
      <w:r w:rsidR="00517F07">
        <w:rPr>
          <w:rStyle w:val="tlid-translation"/>
        </w:rPr>
        <w:t xml:space="preserve">στην κίνηση του περπατήματος </w:t>
      </w:r>
      <w:r>
        <w:rPr>
          <w:rStyle w:val="tlid-translation"/>
        </w:rPr>
        <w:t xml:space="preserve">αντικειμενικά </w:t>
      </w:r>
      <w:r w:rsidR="002D20DE" w:rsidRPr="00FF0BF2">
        <w:rPr>
          <w:rStyle w:val="tlid-translation"/>
        </w:rPr>
        <w:t>(</w:t>
      </w:r>
      <w:r w:rsidR="002D20DE" w:rsidRPr="00FF0BF2">
        <w:rPr>
          <w:lang w:val="en-US"/>
        </w:rPr>
        <w:t>Kjolhede</w:t>
      </w:r>
      <w:r w:rsidR="002D20DE" w:rsidRPr="00FF0BF2">
        <w:t xml:space="preserve">, </w:t>
      </w:r>
      <w:r w:rsidR="002D20DE" w:rsidRPr="00FF0BF2">
        <w:rPr>
          <w:lang w:val="en-US"/>
        </w:rPr>
        <w:t>Vissing</w:t>
      </w:r>
      <w:r w:rsidR="002D20DE" w:rsidRPr="00FF0BF2">
        <w:t xml:space="preserve">, </w:t>
      </w:r>
      <w:r w:rsidR="002D20DE" w:rsidRPr="00FF0BF2">
        <w:rPr>
          <w:lang w:val="en-US"/>
        </w:rPr>
        <w:t>Langeskov</w:t>
      </w:r>
      <w:r w:rsidR="002D20DE" w:rsidRPr="00FF0BF2">
        <w:t>-</w:t>
      </w:r>
      <w:r w:rsidR="002D20DE" w:rsidRPr="00FF0BF2">
        <w:rPr>
          <w:lang w:val="en-US"/>
        </w:rPr>
        <w:t>Christensen</w:t>
      </w:r>
      <w:r w:rsidR="002D20DE" w:rsidRPr="00FF0BF2">
        <w:t xml:space="preserve">, </w:t>
      </w:r>
      <w:r w:rsidR="002D20DE" w:rsidRPr="00FF0BF2">
        <w:rPr>
          <w:lang w:val="en-US"/>
        </w:rPr>
        <w:t>Stenager</w:t>
      </w:r>
      <w:r w:rsidR="002D20DE" w:rsidRPr="00FF0BF2">
        <w:t xml:space="preserve"> &amp; </w:t>
      </w:r>
      <w:r w:rsidR="002D20DE" w:rsidRPr="00FF0BF2">
        <w:rPr>
          <w:lang w:val="en-US"/>
        </w:rPr>
        <w:t>Petersen</w:t>
      </w:r>
      <w:r w:rsidR="002D20DE" w:rsidRPr="00FF0BF2">
        <w:t>, 2015)</w:t>
      </w:r>
      <w:r>
        <w:rPr>
          <w:rStyle w:val="tlid-translation"/>
        </w:rPr>
        <w:t xml:space="preserve"> όσο και υποκειμενικά </w:t>
      </w:r>
      <w:r w:rsidR="00517F07">
        <w:rPr>
          <w:rStyle w:val="tlid-translation"/>
        </w:rPr>
        <w:t>(</w:t>
      </w:r>
      <w:r w:rsidR="00517F07" w:rsidRPr="00FF0BF2">
        <w:rPr>
          <w:lang w:val="en-US"/>
        </w:rPr>
        <w:t>Larocca</w:t>
      </w:r>
      <w:r w:rsidR="00517F07">
        <w:rPr>
          <w:rStyle w:val="tlid-translation"/>
        </w:rPr>
        <w:t>, 2011)</w:t>
      </w:r>
      <w:r>
        <w:rPr>
          <w:rStyle w:val="tlid-translation"/>
        </w:rPr>
        <w:t xml:space="preserve">. Τελικά, </w:t>
      </w:r>
      <w:r w:rsidR="007F094B">
        <w:rPr>
          <w:rStyle w:val="tlid-translation"/>
        </w:rPr>
        <w:t>η συνολική μυϊκή κόπωση</w:t>
      </w:r>
      <w:r>
        <w:rPr>
          <w:rStyle w:val="tlid-translation"/>
        </w:rPr>
        <w:t xml:space="preserve"> είναι πιθανό να </w:t>
      </w:r>
      <w:r w:rsidR="007F094B">
        <w:rPr>
          <w:rStyle w:val="tlid-translation"/>
        </w:rPr>
        <w:t>προκαλέσει</w:t>
      </w:r>
      <w:r>
        <w:rPr>
          <w:rStyle w:val="tlid-translation"/>
        </w:rPr>
        <w:t xml:space="preserve"> μειωμένη ποιότητα ζωής που σχετίζεται με την υγεία, επιδείνωση των βλαβών και αυξημένο κίνδυνο </w:t>
      </w:r>
      <w:r w:rsidR="007F094B">
        <w:rPr>
          <w:rStyle w:val="tlid-translation"/>
        </w:rPr>
        <w:t xml:space="preserve">για </w:t>
      </w:r>
      <w:r w:rsidR="007F094B" w:rsidRPr="007F094B">
        <w:t>καρδιαγγειακές παθήσεις</w:t>
      </w:r>
      <w:r w:rsidR="007F094B">
        <w:t xml:space="preserve"> </w:t>
      </w:r>
      <w:r w:rsidR="007F094B" w:rsidRPr="007F094B">
        <w:t xml:space="preserve"> </w:t>
      </w:r>
      <w:r>
        <w:rPr>
          <w:rStyle w:val="tlid-translation"/>
        </w:rPr>
        <w:t xml:space="preserve">και άλλων </w:t>
      </w:r>
      <w:proofErr w:type="spellStart"/>
      <w:r>
        <w:rPr>
          <w:rStyle w:val="tlid-translation"/>
        </w:rPr>
        <w:t>συννοσηρότητας</w:t>
      </w:r>
      <w:proofErr w:type="spellEnd"/>
      <w:r>
        <w:rPr>
          <w:rStyle w:val="tlid-translation"/>
        </w:rPr>
        <w:t xml:space="preserve"> </w:t>
      </w:r>
      <w:r w:rsidR="00517F07">
        <w:rPr>
          <w:rStyle w:val="tlid-translation"/>
        </w:rPr>
        <w:t>(</w:t>
      </w:r>
      <w:r w:rsidR="00517F07" w:rsidRPr="00FF0BF2">
        <w:rPr>
          <w:lang w:val="en-US"/>
        </w:rPr>
        <w:t>Wens</w:t>
      </w:r>
      <w:r w:rsidR="00517F07" w:rsidRPr="00517F07">
        <w:t xml:space="preserve">, </w:t>
      </w:r>
      <w:r w:rsidR="00517F07" w:rsidRPr="00FF0BF2">
        <w:rPr>
          <w:lang w:val="en-US"/>
        </w:rPr>
        <w:t>Dalgas</w:t>
      </w:r>
      <w:r w:rsidR="00517F07" w:rsidRPr="00517F07">
        <w:t xml:space="preserve">, </w:t>
      </w:r>
      <w:r w:rsidR="00517F07" w:rsidRPr="00FF0BF2">
        <w:rPr>
          <w:lang w:val="en-US"/>
        </w:rPr>
        <w:t>Stenager</w:t>
      </w:r>
      <w:r w:rsidR="00517F07">
        <w:t xml:space="preserve"> &amp;</w:t>
      </w:r>
      <w:r w:rsidR="00517F07" w:rsidRPr="00517F07">
        <w:t xml:space="preserve"> </w:t>
      </w:r>
      <w:r w:rsidR="00517F07" w:rsidRPr="00FF0BF2">
        <w:rPr>
          <w:lang w:val="en-US"/>
        </w:rPr>
        <w:t>Eijnde</w:t>
      </w:r>
      <w:r w:rsidR="00517F07" w:rsidRPr="00517F07">
        <w:t xml:space="preserve">, 2013). </w:t>
      </w:r>
      <w:r>
        <w:rPr>
          <w:rStyle w:val="tlid-translation"/>
        </w:rPr>
        <w:t xml:space="preserve">Είναι πολύ σημαντικό να </w:t>
      </w:r>
      <w:r w:rsidR="007F094B">
        <w:rPr>
          <w:rStyle w:val="tlid-translation"/>
        </w:rPr>
        <w:t>κατανοηθεί η</w:t>
      </w:r>
      <w:r>
        <w:rPr>
          <w:rStyle w:val="tlid-translation"/>
        </w:rPr>
        <w:t xml:space="preserve"> μηχανική λειτουργία των μυών </w:t>
      </w:r>
      <w:r w:rsidR="007F094B">
        <w:rPr>
          <w:rStyle w:val="tlid-translation"/>
        </w:rPr>
        <w:t>κατά την παρουσία της νόσου</w:t>
      </w:r>
      <w:r>
        <w:rPr>
          <w:rStyle w:val="tlid-translation"/>
        </w:rPr>
        <w:t xml:space="preserve">, προκειμένου να </w:t>
      </w:r>
      <w:r w:rsidR="007F094B">
        <w:rPr>
          <w:rStyle w:val="tlid-translation"/>
        </w:rPr>
        <w:t xml:space="preserve">αναπτυχθούν </w:t>
      </w:r>
      <w:r>
        <w:rPr>
          <w:rStyle w:val="tlid-translation"/>
        </w:rPr>
        <w:t xml:space="preserve">μελλοντικές </w:t>
      </w:r>
      <w:r>
        <w:rPr>
          <w:rStyle w:val="tlid-translation"/>
        </w:rPr>
        <w:lastRenderedPageBreak/>
        <w:t>παρεμβάσεις με στόχο τη βελτίωση της μηχανικής λειτουργίας των μυών</w:t>
      </w:r>
      <w:r w:rsidR="00A2571E">
        <w:rPr>
          <w:rStyle w:val="tlid-translation"/>
        </w:rPr>
        <w:t xml:space="preserve"> (</w:t>
      </w:r>
      <w:r w:rsidR="00A2571E" w:rsidRPr="00A2571E">
        <w:rPr>
          <w:lang w:val="en-US"/>
        </w:rPr>
        <w:t>J</w:t>
      </w:r>
      <w:r w:rsidR="00A2571E" w:rsidRPr="00A2571E">
        <w:t>ø</w:t>
      </w:r>
      <w:r w:rsidR="00A2571E" w:rsidRPr="00A2571E">
        <w:rPr>
          <w:lang w:val="en-US"/>
        </w:rPr>
        <w:t>rgensen</w:t>
      </w:r>
      <w:r w:rsidR="00A2571E" w:rsidRPr="00A2571E">
        <w:t xml:space="preserve">, </w:t>
      </w:r>
      <w:r w:rsidR="00A2571E" w:rsidRPr="00A2571E">
        <w:rPr>
          <w:lang w:val="en-US"/>
        </w:rPr>
        <w:t>Dalgas</w:t>
      </w:r>
      <w:r w:rsidR="00A2571E">
        <w:t xml:space="preserve">, </w:t>
      </w:r>
      <w:r w:rsidR="00A2571E" w:rsidRPr="00A2571E">
        <w:rPr>
          <w:lang w:val="en-US"/>
        </w:rPr>
        <w:t>Wens</w:t>
      </w:r>
      <w:r w:rsidR="00A2571E" w:rsidRPr="00A2571E">
        <w:t xml:space="preserve"> &amp; </w:t>
      </w:r>
      <w:r w:rsidR="00A2571E" w:rsidRPr="00A2571E">
        <w:rPr>
          <w:lang w:val="en-US"/>
        </w:rPr>
        <w:t>Hvid</w:t>
      </w:r>
      <w:r w:rsidR="00A2571E" w:rsidRPr="00A2571E">
        <w:t>,</w:t>
      </w:r>
      <w:r w:rsidR="00A2571E">
        <w:t xml:space="preserve"> </w:t>
      </w:r>
      <w:r w:rsidR="00A2571E" w:rsidRPr="00A2571E">
        <w:t>2017).</w:t>
      </w:r>
    </w:p>
    <w:p w:rsidR="002D1ED7" w:rsidRPr="006A7992" w:rsidRDefault="002D1ED7" w:rsidP="007F094B">
      <w:pPr>
        <w:rPr>
          <w:lang w:eastAsia="el-GR"/>
        </w:rPr>
      </w:pPr>
    </w:p>
    <w:p w:rsidR="00DF7278" w:rsidRDefault="00A50CA8" w:rsidP="00A50CA8">
      <w:pPr>
        <w:pStyle w:val="3"/>
        <w:rPr>
          <w:lang w:eastAsia="el-GR"/>
        </w:rPr>
      </w:pPr>
      <w:bookmarkStart w:id="31" w:name="_Toc57241633"/>
      <w:r w:rsidRPr="00A50CA8">
        <w:rPr>
          <w:lang w:eastAsia="el-GR"/>
        </w:rPr>
        <w:t xml:space="preserve">2.6.2 </w:t>
      </w:r>
      <w:proofErr w:type="spellStart"/>
      <w:r w:rsidR="00DF7278" w:rsidRPr="00A50CA8">
        <w:rPr>
          <w:lang w:eastAsia="el-GR"/>
        </w:rPr>
        <w:t>Σπαστικότητα</w:t>
      </w:r>
      <w:bookmarkEnd w:id="31"/>
      <w:proofErr w:type="spellEnd"/>
    </w:p>
    <w:p w:rsidR="00CB0F9F" w:rsidRDefault="00CB0F9F" w:rsidP="002D1ED7">
      <w:pPr>
        <w:rPr>
          <w:rStyle w:val="tlid-translation"/>
        </w:rPr>
      </w:pPr>
      <w:r>
        <w:rPr>
          <w:rStyle w:val="tlid-translation"/>
        </w:rPr>
        <w:t xml:space="preserve">Η </w:t>
      </w:r>
      <w:proofErr w:type="spellStart"/>
      <w:r>
        <w:rPr>
          <w:rStyle w:val="tlid-translation"/>
        </w:rPr>
        <w:t>σπαστικότητα</w:t>
      </w:r>
      <w:proofErr w:type="spellEnd"/>
      <w:r>
        <w:rPr>
          <w:rStyle w:val="tlid-translation"/>
        </w:rPr>
        <w:t xml:space="preserve"> είναι συχνή σε πολλές νευρολογικές διαταραχές, όπως εγκεφαλικό επεισόδιο και σκλήρυνση κατά πλάκας. Είναι μέρος του συνδρόμου του ανώτερου κινητικού νευρώνα που εκδηλώνεται ως αυξημένος τόνος, κλώνος, σπασμοί, σπαστική δυστονία και συστολές. Ο αντίκτυπος της </w:t>
      </w:r>
      <w:proofErr w:type="spellStart"/>
      <w:r>
        <w:rPr>
          <w:rStyle w:val="tlid-translation"/>
        </w:rPr>
        <w:t>σπαστικότητας</w:t>
      </w:r>
      <w:proofErr w:type="spellEnd"/>
      <w:r>
        <w:rPr>
          <w:rStyle w:val="tlid-translation"/>
        </w:rPr>
        <w:t xml:space="preserve"> ποικίλλει από ένα ελάχιστα αισθητό νευρολογικό σημάδι έως σοβαρούς σπασμούς που προκαλούν πόνο και συσπάσεις. Η υπάρχουσα </w:t>
      </w:r>
      <w:proofErr w:type="spellStart"/>
      <w:r>
        <w:rPr>
          <w:rStyle w:val="tlid-translation"/>
        </w:rPr>
        <w:t>σπαστικότητα</w:t>
      </w:r>
      <w:proofErr w:type="spellEnd"/>
      <w:r>
        <w:rPr>
          <w:rStyle w:val="tlid-translation"/>
        </w:rPr>
        <w:t xml:space="preserve"> μπορεί να επιδεινωθεί από εξωτερικούς παράγοντες όπως δυσκοιλιότητα, λοιμώξεις του ουροποιητικού συστήματος κ.ά. (</w:t>
      </w:r>
      <w:r w:rsidRPr="00CB0F9F">
        <w:rPr>
          <w:rStyle w:val="mixed-citation"/>
          <w:lang w:val="en-US"/>
        </w:rPr>
        <w:t>Kheder</w:t>
      </w:r>
      <w:r>
        <w:rPr>
          <w:rStyle w:val="mixed-citation"/>
        </w:rPr>
        <w:t xml:space="preserve"> </w:t>
      </w:r>
      <w:r w:rsidRPr="00827DDE">
        <w:rPr>
          <w:rStyle w:val="mixed-citation"/>
        </w:rPr>
        <w:t xml:space="preserve">&amp; </w:t>
      </w:r>
      <w:r w:rsidRPr="00CB0F9F">
        <w:rPr>
          <w:rStyle w:val="mixed-citation"/>
          <w:lang w:val="en-US"/>
        </w:rPr>
        <w:t>Nair</w:t>
      </w:r>
      <w:r>
        <w:rPr>
          <w:rStyle w:val="mixed-citation"/>
        </w:rPr>
        <w:t xml:space="preserve">, </w:t>
      </w:r>
      <w:r w:rsidRPr="00827DDE">
        <w:rPr>
          <w:rStyle w:val="mixed-citation"/>
        </w:rPr>
        <w:t>2012).</w:t>
      </w:r>
    </w:p>
    <w:p w:rsidR="002D1ED7" w:rsidRDefault="002D1ED7" w:rsidP="002D1ED7">
      <w:pPr>
        <w:rPr>
          <w:rStyle w:val="tlid-translation"/>
        </w:rPr>
      </w:pPr>
      <w:r>
        <w:rPr>
          <w:rStyle w:val="tlid-translation"/>
        </w:rPr>
        <w:t xml:space="preserve">Η </w:t>
      </w:r>
      <w:proofErr w:type="spellStart"/>
      <w:r>
        <w:rPr>
          <w:rStyle w:val="tlid-translation"/>
        </w:rPr>
        <w:t>σπαστικότητα</w:t>
      </w:r>
      <w:proofErr w:type="spellEnd"/>
      <w:r>
        <w:rPr>
          <w:rStyle w:val="tlid-translation"/>
        </w:rPr>
        <w:t xml:space="preserve">, μια κινητική διαταραχή που χαρακτηρίζεται από μια εξαρτώμενη από την ταχύτητα αύξηση των τονωτικών τεντωμένων αντανακλαστικών, λόγω αλλοιώσεων σε διαφορετικά επίπεδα ΚΝΣ, είναι ένα πολύ συχνό σύμπτωμα σε ασθενείς με Σκλήρυνση κατά Πλάκας. Μια μεγάλη έρευνα στις Ηνωμένες Πολιτείες διαπίστωσε ότι το 84% των ασθενών με σκλήρυνση κατά πλάκας παρουσίαζαν </w:t>
      </w:r>
      <w:proofErr w:type="spellStart"/>
      <w:r>
        <w:rPr>
          <w:rStyle w:val="tlid-translation"/>
        </w:rPr>
        <w:t>σπαστικότητα</w:t>
      </w:r>
      <w:proofErr w:type="spellEnd"/>
      <w:r>
        <w:rPr>
          <w:rStyle w:val="tlid-translation"/>
        </w:rPr>
        <w:t xml:space="preserve"> (</w:t>
      </w:r>
      <w:r w:rsidR="00783CB0" w:rsidRPr="00783CB0">
        <w:rPr>
          <w:rStyle w:val="mixed-citation"/>
          <w:lang w:val="en-US"/>
        </w:rPr>
        <w:t>Rizzo</w:t>
      </w:r>
      <w:r w:rsidR="00783CB0" w:rsidRPr="00783CB0">
        <w:rPr>
          <w:rStyle w:val="mixed-citation"/>
        </w:rPr>
        <w:t xml:space="preserve">, </w:t>
      </w:r>
      <w:r w:rsidR="00783CB0" w:rsidRPr="00783CB0">
        <w:rPr>
          <w:rStyle w:val="mixed-citation"/>
          <w:lang w:val="en-US"/>
        </w:rPr>
        <w:t>Hadjimichael</w:t>
      </w:r>
      <w:r w:rsidR="00783CB0" w:rsidRPr="00783CB0">
        <w:rPr>
          <w:rStyle w:val="mixed-citation"/>
        </w:rPr>
        <w:t xml:space="preserve">, </w:t>
      </w:r>
      <w:r w:rsidR="00783CB0" w:rsidRPr="00783CB0">
        <w:rPr>
          <w:rStyle w:val="mixed-citation"/>
          <w:lang w:val="en-US"/>
        </w:rPr>
        <w:t>Preiningerova</w:t>
      </w:r>
      <w:r w:rsidR="00783CB0">
        <w:rPr>
          <w:rStyle w:val="mixed-citation"/>
        </w:rPr>
        <w:t xml:space="preserve"> &amp; </w:t>
      </w:r>
      <w:r w:rsidR="00783CB0" w:rsidRPr="00783CB0">
        <w:rPr>
          <w:rStyle w:val="mixed-citation"/>
          <w:lang w:val="en-US"/>
        </w:rPr>
        <w:t>Vollmer</w:t>
      </w:r>
      <w:r w:rsidR="00783CB0" w:rsidRPr="00783CB0">
        <w:rPr>
          <w:rStyle w:val="mixed-citation"/>
        </w:rPr>
        <w:t>, 2004</w:t>
      </w:r>
      <w:r>
        <w:rPr>
          <w:rStyle w:val="tlid-translation"/>
        </w:rPr>
        <w:t xml:space="preserve">). Παρόμοια αποτελέσματα ελήφθησαν σε </w:t>
      </w:r>
      <w:r w:rsidR="00783CB0">
        <w:rPr>
          <w:rStyle w:val="tlid-translation"/>
        </w:rPr>
        <w:t xml:space="preserve">πιο </w:t>
      </w:r>
      <w:r>
        <w:rPr>
          <w:rStyle w:val="tlid-translation"/>
        </w:rPr>
        <w:t xml:space="preserve">πρόσφατη έρευνα στο Ηνωμένο Βασίλειο, η οποία ανέφερε κάποια μορφή </w:t>
      </w:r>
      <w:proofErr w:type="spellStart"/>
      <w:r>
        <w:rPr>
          <w:rStyle w:val="tlid-translation"/>
        </w:rPr>
        <w:t>σπαστικότητας</w:t>
      </w:r>
      <w:proofErr w:type="spellEnd"/>
      <w:r>
        <w:rPr>
          <w:rStyle w:val="tlid-translation"/>
        </w:rPr>
        <w:t xml:space="preserve"> στο 86% των ασθενών με σκλήρυνση κατά πλάκας (</w:t>
      </w:r>
      <w:r w:rsidR="00783CB0" w:rsidRPr="00783CB0">
        <w:rPr>
          <w:rStyle w:val="mixed-citation"/>
          <w:lang w:val="en-US"/>
        </w:rPr>
        <w:t>Milinis</w:t>
      </w:r>
      <w:r w:rsidR="00783CB0" w:rsidRPr="00783CB0">
        <w:rPr>
          <w:rStyle w:val="mixed-citation"/>
        </w:rPr>
        <w:t xml:space="preserve">, </w:t>
      </w:r>
      <w:r w:rsidR="00783CB0" w:rsidRPr="00783CB0">
        <w:rPr>
          <w:rStyle w:val="mixed-citation"/>
          <w:lang w:val="en-US"/>
        </w:rPr>
        <w:t>Tennant</w:t>
      </w:r>
      <w:r w:rsidR="00783CB0">
        <w:rPr>
          <w:rStyle w:val="mixed-citation"/>
        </w:rPr>
        <w:t xml:space="preserve"> &amp; </w:t>
      </w:r>
      <w:r w:rsidR="00783CB0" w:rsidRPr="00783CB0">
        <w:rPr>
          <w:rStyle w:val="mixed-citation"/>
          <w:lang w:val="en-US"/>
        </w:rPr>
        <w:t>Young</w:t>
      </w:r>
      <w:r w:rsidR="00783CB0">
        <w:rPr>
          <w:rStyle w:val="mixed-citation"/>
        </w:rPr>
        <w:t xml:space="preserve"> </w:t>
      </w:r>
      <w:r w:rsidR="00783CB0" w:rsidRPr="00783CB0">
        <w:rPr>
          <w:rStyle w:val="mixed-citation"/>
        </w:rPr>
        <w:t>2016</w:t>
      </w:r>
      <w:r>
        <w:rPr>
          <w:rStyle w:val="tlid-translation"/>
        </w:rPr>
        <w:t xml:space="preserve">). Η </w:t>
      </w:r>
      <w:proofErr w:type="spellStart"/>
      <w:r>
        <w:rPr>
          <w:rStyle w:val="tlid-translation"/>
        </w:rPr>
        <w:t>σπαστικότητα</w:t>
      </w:r>
      <w:proofErr w:type="spellEnd"/>
      <w:r>
        <w:rPr>
          <w:rStyle w:val="tlid-translation"/>
        </w:rPr>
        <w:t xml:space="preserve"> είναι ένα σημαντικό σύμπτωμα της σκλήρυνσης κατά πλάκας επειδή έχει αρνητική επίδραση στην κινητικότητα και μπορεί να είναι οδυνηρή (</w:t>
      </w:r>
      <w:r w:rsidR="00783CB0" w:rsidRPr="00783CB0">
        <w:rPr>
          <w:rStyle w:val="mixed-citation"/>
          <w:lang w:val="en-US"/>
        </w:rPr>
        <w:t>Sosnoff</w:t>
      </w:r>
      <w:r w:rsidR="00783CB0" w:rsidRPr="00783CB0">
        <w:rPr>
          <w:rStyle w:val="mixed-citation"/>
        </w:rPr>
        <w:t xml:space="preserve">, </w:t>
      </w:r>
      <w:r w:rsidR="00783CB0" w:rsidRPr="00783CB0">
        <w:rPr>
          <w:rStyle w:val="mixed-citation"/>
          <w:lang w:val="en-US"/>
        </w:rPr>
        <w:t>Gappmaier</w:t>
      </w:r>
      <w:r w:rsidR="00783CB0" w:rsidRPr="00783CB0">
        <w:rPr>
          <w:rStyle w:val="mixed-citation"/>
        </w:rPr>
        <w:t xml:space="preserve">, </w:t>
      </w:r>
      <w:r w:rsidR="00783CB0" w:rsidRPr="00783CB0">
        <w:rPr>
          <w:rStyle w:val="mixed-citation"/>
          <w:lang w:val="en-US"/>
        </w:rPr>
        <w:t>Frame</w:t>
      </w:r>
      <w:r w:rsidR="00783CB0" w:rsidRPr="00783CB0">
        <w:rPr>
          <w:rStyle w:val="mixed-citation"/>
        </w:rPr>
        <w:t xml:space="preserve"> &amp; </w:t>
      </w:r>
      <w:r w:rsidR="00783CB0" w:rsidRPr="00783CB0">
        <w:rPr>
          <w:rStyle w:val="mixed-citation"/>
          <w:lang w:val="en-US"/>
        </w:rPr>
        <w:t>Motl</w:t>
      </w:r>
      <w:r w:rsidR="00783CB0" w:rsidRPr="00783CB0">
        <w:rPr>
          <w:rStyle w:val="mixed-citation"/>
        </w:rPr>
        <w:t>,</w:t>
      </w:r>
      <w:r w:rsidR="00783CB0">
        <w:rPr>
          <w:rStyle w:val="mixed-citation"/>
        </w:rPr>
        <w:t xml:space="preserve"> </w:t>
      </w:r>
      <w:r w:rsidR="00783CB0" w:rsidRPr="00783CB0">
        <w:rPr>
          <w:rStyle w:val="mixed-citation"/>
        </w:rPr>
        <w:t>2011</w:t>
      </w:r>
      <w:r>
        <w:rPr>
          <w:rStyle w:val="tlid-translation"/>
        </w:rPr>
        <w:t>), και θεωρείται ότι έχει μεγάλο αντίκτυπο στην ποιότητα ζωής των ασθενών (</w:t>
      </w:r>
      <w:r w:rsidR="00783CB0" w:rsidRPr="00783CB0">
        <w:rPr>
          <w:rStyle w:val="mixed-citation"/>
          <w:lang w:val="en-US"/>
        </w:rPr>
        <w:t>Heller</w:t>
      </w:r>
      <w:r w:rsidR="00783CB0">
        <w:rPr>
          <w:rStyle w:val="mixed-citation"/>
        </w:rPr>
        <w:t xml:space="preserve"> &amp; </w:t>
      </w:r>
      <w:r w:rsidR="00783CB0" w:rsidRPr="00783CB0">
        <w:rPr>
          <w:rStyle w:val="mixed-citation"/>
          <w:lang w:val="en-US"/>
        </w:rPr>
        <w:t>Taylor</w:t>
      </w:r>
      <w:r w:rsidR="00783CB0">
        <w:rPr>
          <w:rStyle w:val="mixed-citation"/>
        </w:rPr>
        <w:t>, 2017</w:t>
      </w:r>
      <w:r>
        <w:rPr>
          <w:rStyle w:val="tlid-translation"/>
        </w:rPr>
        <w:t xml:space="preserve">). Επιπλέον, η μυϊκή ακαμψία και η </w:t>
      </w:r>
      <w:proofErr w:type="spellStart"/>
      <w:r w:rsidR="00783CB0">
        <w:rPr>
          <w:rStyle w:val="tlid-translation"/>
        </w:rPr>
        <w:t>σπαστικότητα</w:t>
      </w:r>
      <w:proofErr w:type="spellEnd"/>
      <w:r>
        <w:rPr>
          <w:rStyle w:val="tlid-translation"/>
        </w:rPr>
        <w:t xml:space="preserve"> προκαλούν, επιδεινώνουν ή σχετίζονται με άλλες λειτουργίες ή/και συμπτώματα σε άτομα με σκλήρυνση κατά πλάκας πέρα από την κινητικότητα, όπως κόπωση (</w:t>
      </w:r>
      <w:r w:rsidR="00783CB0" w:rsidRPr="00783CB0">
        <w:rPr>
          <w:rStyle w:val="mixed-citation"/>
          <w:lang w:val="en-US"/>
        </w:rPr>
        <w:t>Flachenecker</w:t>
      </w:r>
      <w:r w:rsidR="00783CB0" w:rsidRPr="00783CB0">
        <w:rPr>
          <w:rStyle w:val="mixed-citation"/>
        </w:rPr>
        <w:t xml:space="preserve">, </w:t>
      </w:r>
      <w:r w:rsidR="00783CB0" w:rsidRPr="00783CB0">
        <w:rPr>
          <w:rStyle w:val="mixed-citation"/>
          <w:lang w:val="en-US"/>
        </w:rPr>
        <w:t>Henze</w:t>
      </w:r>
      <w:r w:rsidR="00783CB0" w:rsidRPr="00783CB0">
        <w:rPr>
          <w:rStyle w:val="mixed-citation"/>
        </w:rPr>
        <w:t xml:space="preserve"> &amp; </w:t>
      </w:r>
      <w:r w:rsidR="00783CB0" w:rsidRPr="00783CB0">
        <w:rPr>
          <w:rStyle w:val="mixed-citation"/>
          <w:lang w:val="en-US"/>
        </w:rPr>
        <w:t>Zettl</w:t>
      </w:r>
      <w:r w:rsidR="00783CB0" w:rsidRPr="00783CB0">
        <w:rPr>
          <w:rStyle w:val="mixed-citation"/>
        </w:rPr>
        <w:t>,</w:t>
      </w:r>
      <w:r w:rsidR="00783CB0">
        <w:rPr>
          <w:rStyle w:val="mixed-citation"/>
        </w:rPr>
        <w:t xml:space="preserve"> </w:t>
      </w:r>
      <w:r w:rsidR="00783CB0" w:rsidRPr="00783CB0">
        <w:rPr>
          <w:rStyle w:val="mixed-citation"/>
        </w:rPr>
        <w:t>2014</w:t>
      </w:r>
      <w:r>
        <w:rPr>
          <w:rStyle w:val="tlid-translation"/>
        </w:rPr>
        <w:t>), διαταραχές του ύπνου και δυσλειτουργία της ουροδόχου κύστης.</w:t>
      </w:r>
    </w:p>
    <w:p w:rsidR="002D1ED7" w:rsidRPr="002D1ED7" w:rsidRDefault="002D1ED7" w:rsidP="002D1ED7">
      <w:pPr>
        <w:rPr>
          <w:rStyle w:val="tlid-translation"/>
        </w:rPr>
      </w:pPr>
      <w:r>
        <w:rPr>
          <w:rStyle w:val="tlid-translation"/>
        </w:rPr>
        <w:t>Η αταξία, που αναφέρθηκε σε έως και το 80% των ασθενών με σκλήρυνση κατά πλάκας σε κάποιο σημείο της νόσου τους (</w:t>
      </w:r>
      <w:r w:rsidRPr="00783CB0">
        <w:rPr>
          <w:rStyle w:val="tlid-translation"/>
          <w:b/>
        </w:rPr>
        <w:t>20</w:t>
      </w:r>
      <w:r>
        <w:rPr>
          <w:rStyle w:val="tlid-translation"/>
        </w:rPr>
        <w:t>) και ο τρόμος, που εντοπίστηκε σε περισσότερα από τα μισά άτομα σε ένα δείγμα τυχαία επιλεγμένων ασθενών με σκλήρυνση κατά πλάκας σε βρετανική μελέτη (</w:t>
      </w:r>
      <w:r w:rsidRPr="00783CB0">
        <w:rPr>
          <w:rStyle w:val="tlid-translation"/>
          <w:b/>
        </w:rPr>
        <w:t>21</w:t>
      </w:r>
      <w:r>
        <w:rPr>
          <w:rStyle w:val="tlid-translation"/>
        </w:rPr>
        <w:t>), είναι επίσης εξασθένιση συμπτωμάτων που μπορούν να επηρεάσουν την κινητικότητα.</w:t>
      </w:r>
    </w:p>
    <w:p w:rsidR="002D1ED7" w:rsidRPr="002D1ED7" w:rsidRDefault="002D1ED7" w:rsidP="002D1ED7">
      <w:pPr>
        <w:rPr>
          <w:rStyle w:val="tlid-translation"/>
        </w:rPr>
      </w:pPr>
    </w:p>
    <w:p w:rsidR="00DF7278" w:rsidRPr="006A7992" w:rsidRDefault="00A50CA8" w:rsidP="00A50CA8">
      <w:pPr>
        <w:pStyle w:val="3"/>
        <w:rPr>
          <w:lang w:eastAsia="el-GR"/>
        </w:rPr>
      </w:pPr>
      <w:bookmarkStart w:id="32" w:name="_Toc57241634"/>
      <w:r w:rsidRPr="00A50CA8">
        <w:rPr>
          <w:lang w:eastAsia="el-GR"/>
        </w:rPr>
        <w:lastRenderedPageBreak/>
        <w:t xml:space="preserve">2.6.3 </w:t>
      </w:r>
      <w:r w:rsidR="00DF7278" w:rsidRPr="00A50CA8">
        <w:rPr>
          <w:lang w:eastAsia="el-GR"/>
        </w:rPr>
        <w:t>Προβλήματα όρασης, ομιλίας</w:t>
      </w:r>
      <w:bookmarkEnd w:id="32"/>
    </w:p>
    <w:p w:rsidR="00522BE8" w:rsidRPr="006A7992" w:rsidRDefault="00827DDE" w:rsidP="00827DDE">
      <w:pPr>
        <w:rPr>
          <w:rStyle w:val="tlid-translation"/>
        </w:rPr>
      </w:pPr>
      <w:r>
        <w:rPr>
          <w:rStyle w:val="tlid-translation"/>
        </w:rPr>
        <w:t xml:space="preserve">Ο όρος οπτική νευρίτιδα (ΟΝ) αναφέρεται σε φλεγμονή του οπτικού νεύρου λόγω πολλών αιτιών, που υποδηλώνεται από </w:t>
      </w:r>
      <w:proofErr w:type="spellStart"/>
      <w:r>
        <w:rPr>
          <w:rStyle w:val="tlid-translation"/>
        </w:rPr>
        <w:t>υποξεία</w:t>
      </w:r>
      <w:proofErr w:type="spellEnd"/>
      <w:r>
        <w:rPr>
          <w:rStyle w:val="tlid-translation"/>
        </w:rPr>
        <w:t xml:space="preserve"> μονομερή οδυνηρή απώλεια όρασης κυρίως σε μια νεαρή υγιή γυναίκα και αποκλείοντας το γλαύκωμα</w:t>
      </w:r>
      <w:r w:rsidRPr="00827DDE">
        <w:rPr>
          <w:rStyle w:val="tlid-translation"/>
        </w:rPr>
        <w:t xml:space="preserve">. </w:t>
      </w:r>
      <w:r>
        <w:rPr>
          <w:rStyle w:val="tlid-translation"/>
        </w:rPr>
        <w:t xml:space="preserve">Η οπτική νευρίτιδα είναι η πιο σχετική οπτική νευροπάθεια σε άτομα κάτω των 50 ετών. Είναι το παλαιότερο κλινικό σύμπτωμα σε περίπου 20% των περιπτώσεων ασθενών με σκλήρυνση κατά πλάκας </w:t>
      </w:r>
      <w:r w:rsidR="00522BE8">
        <w:rPr>
          <w:rStyle w:val="tlid-translation"/>
        </w:rPr>
        <w:t>(</w:t>
      </w:r>
      <w:r w:rsidR="00522BE8">
        <w:rPr>
          <w:rStyle w:val="tlid-translation"/>
          <w:lang w:val="en-US"/>
        </w:rPr>
        <w:t>Hoorbakht</w:t>
      </w:r>
      <w:r w:rsidR="00522BE8" w:rsidRPr="00522BE8">
        <w:rPr>
          <w:rStyle w:val="tlid-translation"/>
        </w:rPr>
        <w:t xml:space="preserve"> &amp; </w:t>
      </w:r>
      <w:r w:rsidR="00522BE8">
        <w:rPr>
          <w:rStyle w:val="tlid-translation"/>
          <w:lang w:val="en-US"/>
        </w:rPr>
        <w:t>Bagherkashi</w:t>
      </w:r>
      <w:r w:rsidR="00522BE8" w:rsidRPr="00522BE8">
        <w:rPr>
          <w:rStyle w:val="tlid-translation"/>
        </w:rPr>
        <w:t>, 2012).</w:t>
      </w:r>
    </w:p>
    <w:p w:rsidR="00522BE8" w:rsidRPr="00522BE8" w:rsidRDefault="00522BE8" w:rsidP="00827DDE">
      <w:pPr>
        <w:rPr>
          <w:lang w:eastAsia="el-GR"/>
        </w:rPr>
      </w:pPr>
      <w:r>
        <w:rPr>
          <w:rStyle w:val="tlid-translation"/>
        </w:rPr>
        <w:t>Μερικοί άνθρωποι βιώνουν θολή όραση, άλλοι μπορεί να χάσουν προσωρινά την όρασή τους. Μερικοί παρατηρούν ένα θολό ή τυφλό σημείο στο κέντρο της όρασης τους. Τα χρώματα μπορεί επίσης να φαίνονται πιο σκούρα ή ξεπλυμένα, μπορεί να εμφανιστούν φώτα που αναβοσβήνουν και η κίνηση των ματιών μπορεί να είναι επώδυνη.</w:t>
      </w:r>
      <w:r w:rsidRPr="00522BE8">
        <w:rPr>
          <w:rStyle w:val="tlid-translation"/>
        </w:rPr>
        <w:t xml:space="preserve"> </w:t>
      </w:r>
      <w:r>
        <w:rPr>
          <w:rStyle w:val="tlid-translation"/>
        </w:rPr>
        <w:t>Ενώ τα παραπάνω πιθανά να ακούγονται τρομακτικά, αυτά τα συμπτώματα μπορεί μερικές φορές να εξαφανιστούν μόνα τους μέσα σε λίγες εβδομάδες. Η μελέτη του οπτικού μονοπατιού υπήρξε ένα πεδίο ενδιαφέροντος καθώς μπορεί να αντικατοπτρίζει τις εγκεφαλικές αλλαγές που συμβάλλουν στην αναπηρία του ασθενούς (</w:t>
      </w:r>
      <w:proofErr w:type="spellStart"/>
      <w:r>
        <w:rPr>
          <w:rStyle w:val="tlid-translation"/>
        </w:rPr>
        <w:t>Costello</w:t>
      </w:r>
      <w:proofErr w:type="spellEnd"/>
      <w:r>
        <w:rPr>
          <w:rStyle w:val="tlid-translation"/>
        </w:rPr>
        <w:t xml:space="preserve">, 2013). Ο αμφιβληστροειδής και το οπτικό νεύρο είναι λειτουργικά εύγλωττες δομές, που είναι γνωστό ότι είναι σημαντικοί στόχοι της νόσου ακόμη και σε ασθενείς χωρίς οπτική νευρίτιδα (ΟΝ). </w:t>
      </w:r>
    </w:p>
    <w:p w:rsidR="00DF7278" w:rsidRPr="006A7992" w:rsidRDefault="00A50CA8" w:rsidP="00A50CA8">
      <w:pPr>
        <w:pStyle w:val="3"/>
        <w:rPr>
          <w:lang w:eastAsia="el-GR"/>
        </w:rPr>
      </w:pPr>
      <w:bookmarkStart w:id="33" w:name="_Toc57241635"/>
      <w:r w:rsidRPr="00A50CA8">
        <w:rPr>
          <w:lang w:eastAsia="el-GR"/>
        </w:rPr>
        <w:t xml:space="preserve">2.6.4 </w:t>
      </w:r>
      <w:r w:rsidR="00DF7278" w:rsidRPr="00A50CA8">
        <w:rPr>
          <w:lang w:eastAsia="el-GR"/>
        </w:rPr>
        <w:t xml:space="preserve">Συμπτώματα ουροδόχου </w:t>
      </w:r>
      <w:proofErr w:type="spellStart"/>
      <w:r w:rsidR="00DF7278" w:rsidRPr="00A50CA8">
        <w:rPr>
          <w:lang w:eastAsia="el-GR"/>
        </w:rPr>
        <w:t>κύστεως</w:t>
      </w:r>
      <w:proofErr w:type="spellEnd"/>
      <w:r w:rsidR="00266E00" w:rsidRPr="00266E00">
        <w:rPr>
          <w:lang w:eastAsia="el-GR"/>
        </w:rPr>
        <w:t xml:space="preserve"> </w:t>
      </w:r>
      <w:r w:rsidR="00266E00">
        <w:rPr>
          <w:lang w:eastAsia="el-GR"/>
        </w:rPr>
        <w:t>και</w:t>
      </w:r>
      <w:r w:rsidR="00266E00" w:rsidRPr="00266E00">
        <w:rPr>
          <w:lang w:eastAsia="el-GR"/>
        </w:rPr>
        <w:t xml:space="preserve"> </w:t>
      </w:r>
      <w:r w:rsidR="00266E00" w:rsidRPr="00A50CA8">
        <w:rPr>
          <w:lang w:eastAsia="el-GR"/>
        </w:rPr>
        <w:t>Εντερικά προβλήματα</w:t>
      </w:r>
      <w:bookmarkEnd w:id="33"/>
    </w:p>
    <w:p w:rsidR="008B247F" w:rsidRPr="002A5C10" w:rsidRDefault="008B247F" w:rsidP="008B247F">
      <w:pPr>
        <w:rPr>
          <w:rStyle w:val="tlid-translation"/>
        </w:rPr>
      </w:pPr>
      <w:r>
        <w:rPr>
          <w:rStyle w:val="tlid-translation"/>
        </w:rPr>
        <w:t>Τα προβλήματα του εντέρου και της ουροδόχου κύστης επηρεάζουν περισσότερο από το 50% των ατόμων με σκλήρυνση κατά πλάκας (MS). Αυτά τα προβλήματα έχουν μεγάλο αντίκτυπο στην ποιότητα ζωής και επιβαρύνουν σημαντικά τα συστήματα υγείας.</w:t>
      </w:r>
      <w:r w:rsidRPr="008B247F">
        <w:rPr>
          <w:rStyle w:val="tlid-translation"/>
        </w:rPr>
        <w:t xml:space="preserve"> </w:t>
      </w:r>
      <w:r>
        <w:rPr>
          <w:rStyle w:val="tlid-translation"/>
        </w:rPr>
        <w:t>Ο αντίκτυπος αυτών των προβλημάτων του εντέρου και της ουροδόχου κύστης είναι σημαντικός και είναι ένα από τα πιο κοινά προβλήματα που περιορίζουν την ικανότητα των ατόμων με σκλήρυνση κατά πλάκας να εργάζονται και να παραμένουν απασχολούμενα. Μπορούν επίσης να οδηγήσουν σε κοινωνική ταλαιπωρία και απομόνωση, μειωμένη ποιότητα ζωής και αυξημένη νοσηρότητα</w:t>
      </w:r>
      <w:r w:rsidRPr="008B247F">
        <w:rPr>
          <w:rStyle w:val="tlid-translation"/>
        </w:rPr>
        <w:t xml:space="preserve">. </w:t>
      </w:r>
      <w:r>
        <w:rPr>
          <w:rStyle w:val="tlid-translation"/>
        </w:rPr>
        <w:t xml:space="preserve">Επιπλέον, το οικονομικό κόστος που σχετίζεται με τη δυσλειτουργία του εντέρου και της ουροδόχου κύστης σε ασθενείς με σκλήρυνση κατά πλάκας είναι σημαντικό </w:t>
      </w:r>
      <w:r w:rsidR="00345839" w:rsidRPr="00345839">
        <w:rPr>
          <w:rStyle w:val="tlid-translation"/>
        </w:rPr>
        <w:t>(</w:t>
      </w:r>
      <w:r w:rsidR="00345839">
        <w:rPr>
          <w:rStyle w:val="tlid-translation"/>
          <w:lang w:val="en-US"/>
        </w:rPr>
        <w:t>Lin</w:t>
      </w:r>
      <w:r w:rsidR="00345839" w:rsidRPr="00345839">
        <w:rPr>
          <w:rStyle w:val="tlid-translation"/>
        </w:rPr>
        <w:t xml:space="preserve">, </w:t>
      </w:r>
      <w:r w:rsidR="00345839" w:rsidRPr="00345839">
        <w:rPr>
          <w:rStyle w:val="tlid-translation"/>
          <w:lang w:val="en-US"/>
        </w:rPr>
        <w:t>Butler</w:t>
      </w:r>
      <w:r w:rsidR="00345839" w:rsidRPr="00345839">
        <w:rPr>
          <w:rStyle w:val="tlid-translation"/>
        </w:rPr>
        <w:t xml:space="preserve">, </w:t>
      </w:r>
      <w:r w:rsidR="00345839" w:rsidRPr="00345839">
        <w:rPr>
          <w:rStyle w:val="tlid-translation"/>
          <w:lang w:val="en-US"/>
        </w:rPr>
        <w:t>Boswell</w:t>
      </w:r>
      <w:r w:rsidR="00345839" w:rsidRPr="00345839">
        <w:rPr>
          <w:rStyle w:val="tlid-translation"/>
        </w:rPr>
        <w:t>-</w:t>
      </w:r>
      <w:r w:rsidR="00345839" w:rsidRPr="00345839">
        <w:rPr>
          <w:rStyle w:val="tlid-translation"/>
          <w:lang w:val="en-US"/>
        </w:rPr>
        <w:t>Ruys</w:t>
      </w:r>
      <w:r w:rsidR="00345839" w:rsidRPr="00345839">
        <w:rPr>
          <w:rStyle w:val="tlid-translation"/>
        </w:rPr>
        <w:t xml:space="preserve">, </w:t>
      </w:r>
      <w:r w:rsidR="00345839" w:rsidRPr="00345839">
        <w:rPr>
          <w:rStyle w:val="tlid-translation"/>
          <w:lang w:val="en-US"/>
        </w:rPr>
        <w:t>Hoang</w:t>
      </w:r>
      <w:r w:rsidR="00345839" w:rsidRPr="00345839">
        <w:rPr>
          <w:rStyle w:val="tlid-translation"/>
        </w:rPr>
        <w:t xml:space="preserve">, </w:t>
      </w:r>
      <w:r w:rsidR="00345839" w:rsidRPr="00345839">
        <w:rPr>
          <w:rStyle w:val="tlid-translation"/>
          <w:lang w:val="en-US"/>
        </w:rPr>
        <w:t>Jarvis</w:t>
      </w:r>
      <w:r w:rsidR="00345839" w:rsidRPr="00345839">
        <w:rPr>
          <w:rStyle w:val="tlid-translation"/>
        </w:rPr>
        <w:t xml:space="preserve">, </w:t>
      </w:r>
      <w:r w:rsidR="00345839" w:rsidRPr="00345839">
        <w:rPr>
          <w:rStyle w:val="tlid-translation"/>
          <w:lang w:val="en-US"/>
        </w:rPr>
        <w:t>Gandevia</w:t>
      </w:r>
      <w:r w:rsidR="00345839" w:rsidRPr="00345839">
        <w:rPr>
          <w:rStyle w:val="tlid-translation"/>
        </w:rPr>
        <w:t xml:space="preserve"> &amp; </w:t>
      </w:r>
      <w:r w:rsidR="00345839" w:rsidRPr="00345839">
        <w:rPr>
          <w:rStyle w:val="tlid-translation"/>
          <w:lang w:val="en-US"/>
        </w:rPr>
        <w:t>McCaughey</w:t>
      </w:r>
      <w:r w:rsidR="00345839" w:rsidRPr="00345839">
        <w:rPr>
          <w:rStyle w:val="tlid-translation"/>
        </w:rPr>
        <w:t>, 2019).</w:t>
      </w:r>
    </w:p>
    <w:p w:rsidR="002A5C10" w:rsidRPr="00D97956" w:rsidRDefault="002A5C10" w:rsidP="008B247F">
      <w:pPr>
        <w:rPr>
          <w:rStyle w:val="tlid-translation"/>
        </w:rPr>
      </w:pPr>
      <w:r>
        <w:rPr>
          <w:rStyle w:val="tlid-translation"/>
        </w:rPr>
        <w:t xml:space="preserve">Η μελέτη των </w:t>
      </w:r>
      <w:r>
        <w:rPr>
          <w:rStyle w:val="tlid-translation"/>
          <w:lang w:val="en-US"/>
        </w:rPr>
        <w:t>Nazari</w:t>
      </w:r>
      <w:r w:rsidRPr="002A5C10">
        <w:rPr>
          <w:rStyle w:val="tlid-translation"/>
        </w:rPr>
        <w:t xml:space="preserve"> </w:t>
      </w:r>
      <w:r>
        <w:rPr>
          <w:rStyle w:val="tlid-translation"/>
          <w:lang w:val="en-US"/>
        </w:rPr>
        <w:t>et</w:t>
      </w:r>
      <w:r w:rsidRPr="002A5C10">
        <w:rPr>
          <w:rStyle w:val="tlid-translation"/>
        </w:rPr>
        <w:t xml:space="preserve"> </w:t>
      </w:r>
      <w:r>
        <w:rPr>
          <w:rStyle w:val="tlid-translation"/>
          <w:lang w:val="en-US"/>
        </w:rPr>
        <w:t>al</w:t>
      </w:r>
      <w:r w:rsidRPr="002A5C10">
        <w:rPr>
          <w:rStyle w:val="tlid-translation"/>
        </w:rPr>
        <w:t xml:space="preserve">. (2020), </w:t>
      </w:r>
      <w:r>
        <w:rPr>
          <w:rStyle w:val="tlid-translation"/>
        </w:rPr>
        <w:t xml:space="preserve">διεξήχθη για να εξετάσει τον </w:t>
      </w:r>
      <w:proofErr w:type="spellStart"/>
      <w:r>
        <w:rPr>
          <w:rStyle w:val="tlid-translation"/>
        </w:rPr>
        <w:t>επιπολασμό</w:t>
      </w:r>
      <w:proofErr w:type="spellEnd"/>
      <w:r>
        <w:rPr>
          <w:rStyle w:val="tlid-translation"/>
        </w:rPr>
        <w:t xml:space="preserve"> των παραπάνω επιπλοκών σε ασθενείς με ΣΚΠ. Το ποσοστό επικράτησης των συμπτωμάτων του κατώτερου ουροποιητικού συστήματος (LUTS) ήταν 87,6% μεταξύ όλων των ατόμων, με παρόμοιο ποσοστό μεταξύ των γυναικών (88.0%) και των ανδρών (86.0%). Δεν υπήρχε </w:t>
      </w:r>
      <w:r>
        <w:rPr>
          <w:rStyle w:val="tlid-translation"/>
        </w:rPr>
        <w:lastRenderedPageBreak/>
        <w:t xml:space="preserve">σημαντική διαφορά μεταξύ γυναικών και ανδρών όσον αφορά τον </w:t>
      </w:r>
      <w:proofErr w:type="spellStart"/>
      <w:r>
        <w:rPr>
          <w:rStyle w:val="tlid-translation"/>
        </w:rPr>
        <w:t>επιπολασμό</w:t>
      </w:r>
      <w:proofErr w:type="spellEnd"/>
      <w:r>
        <w:rPr>
          <w:rStyle w:val="tlid-translation"/>
        </w:rPr>
        <w:t xml:space="preserve"> άλλων συμπτωμάτων (P&gt; 0,050). Σημαντική διαφορά παρατηρήθηκε στα συμπτώματα σε σχέση με την ηλικία, την οικογενειακή κατάσταση, τη διάρκεια του γάμου, την εκπαίδευση, τη διάρκεια της ασθένειας, την κλινική πορεία, την αναπηρία, το άγχος, την κατάθλιψη και το άγχος (P &lt;0,05). </w:t>
      </w:r>
      <w:r w:rsidR="005D3E4F">
        <w:rPr>
          <w:rStyle w:val="tlid-translation"/>
        </w:rPr>
        <w:t>Πολλές μελέτες έχουν δείξει ότι η επιδείνωση των συμπτωμάτων του ουροποιητικού συστήματος σχετίζεται με την αύξηση της εμπλοκής του νωτιαίου μυελού σε άτομα με MS</w:t>
      </w:r>
      <w:r w:rsidR="00D97956" w:rsidRPr="00D97956">
        <w:rPr>
          <w:rStyle w:val="tlid-translation"/>
        </w:rPr>
        <w:t>.</w:t>
      </w:r>
    </w:p>
    <w:p w:rsidR="00D97956" w:rsidRPr="00D739E0" w:rsidRDefault="00D97956" w:rsidP="008B247F">
      <w:pPr>
        <w:rPr>
          <w:lang w:eastAsia="el-GR"/>
        </w:rPr>
      </w:pPr>
      <w:r>
        <w:rPr>
          <w:rStyle w:val="tlid-translation"/>
        </w:rPr>
        <w:t xml:space="preserve">Για τον εντοπισμό του τύπου και της πορείας της ακύρωσης της δυσλειτουργίας σε ασθενείς με σκλήρυνση κατά πλάκας σε σχέση με τις </w:t>
      </w:r>
      <w:proofErr w:type="spellStart"/>
      <w:r>
        <w:rPr>
          <w:rStyle w:val="tlid-translation"/>
        </w:rPr>
        <w:t>ουροδυναμικές</w:t>
      </w:r>
      <w:proofErr w:type="spellEnd"/>
      <w:r>
        <w:rPr>
          <w:rStyle w:val="tlid-translation"/>
        </w:rPr>
        <w:t xml:space="preserve"> αλλαγές του κατώτερου ουροποιητικού συστήματος (LUT)</w:t>
      </w:r>
      <w:r w:rsidR="001F306E">
        <w:rPr>
          <w:rStyle w:val="tlid-translation"/>
        </w:rPr>
        <w:t xml:space="preserve">, οι </w:t>
      </w:r>
      <w:r w:rsidR="001F306E">
        <w:rPr>
          <w:rStyle w:val="tlid-translation"/>
          <w:lang w:val="en-US"/>
        </w:rPr>
        <w:t>Torad</w:t>
      </w:r>
      <w:r w:rsidR="001F306E" w:rsidRPr="001F306E">
        <w:rPr>
          <w:rStyle w:val="tlid-translation"/>
        </w:rPr>
        <w:t xml:space="preserve">, </w:t>
      </w:r>
      <w:r w:rsidR="001F306E">
        <w:rPr>
          <w:rStyle w:val="tlid-translation"/>
          <w:lang w:val="en-US"/>
        </w:rPr>
        <w:t>Shalaby</w:t>
      </w:r>
      <w:r w:rsidR="001F306E" w:rsidRPr="001F306E">
        <w:rPr>
          <w:rStyle w:val="tlid-translation"/>
        </w:rPr>
        <w:t xml:space="preserve">, </w:t>
      </w:r>
      <w:r w:rsidR="001F306E">
        <w:rPr>
          <w:rStyle w:val="tlid-translation"/>
          <w:lang w:val="en-US"/>
        </w:rPr>
        <w:t>Hussein</w:t>
      </w:r>
      <w:r w:rsidR="001F306E" w:rsidRPr="001F306E">
        <w:rPr>
          <w:rStyle w:val="tlid-translation"/>
        </w:rPr>
        <w:t xml:space="preserve">, </w:t>
      </w:r>
      <w:r w:rsidR="001F306E">
        <w:rPr>
          <w:rStyle w:val="tlid-translation"/>
          <w:lang w:val="en-US"/>
        </w:rPr>
        <w:t>et</w:t>
      </w:r>
      <w:r w:rsidR="001F306E" w:rsidRPr="001F306E">
        <w:rPr>
          <w:rStyle w:val="tlid-translation"/>
        </w:rPr>
        <w:t xml:space="preserve"> </w:t>
      </w:r>
      <w:r w:rsidR="001F306E">
        <w:rPr>
          <w:rStyle w:val="tlid-translation"/>
          <w:lang w:val="en-US"/>
        </w:rPr>
        <w:t>al</w:t>
      </w:r>
      <w:r w:rsidR="001F306E">
        <w:rPr>
          <w:rStyle w:val="tlid-translation"/>
        </w:rPr>
        <w:t>.</w:t>
      </w:r>
      <w:r w:rsidR="001F306E" w:rsidRPr="001F306E">
        <w:rPr>
          <w:rStyle w:val="tlid-translation"/>
        </w:rPr>
        <w:t xml:space="preserve"> </w:t>
      </w:r>
      <w:r w:rsidR="001F306E" w:rsidRPr="00D739E0">
        <w:rPr>
          <w:rStyle w:val="tlid-translation"/>
        </w:rPr>
        <w:t>(</w:t>
      </w:r>
      <w:r w:rsidR="001F306E" w:rsidRPr="001F306E">
        <w:rPr>
          <w:rStyle w:val="tlid-translation"/>
        </w:rPr>
        <w:t>2020)</w:t>
      </w:r>
      <w:r w:rsidR="00D739E0">
        <w:rPr>
          <w:rStyle w:val="tlid-translation"/>
        </w:rPr>
        <w:t xml:space="preserve">, εκπόνησαν μια μελέτη προοπτικής παρατήρησης που </w:t>
      </w:r>
      <w:proofErr w:type="spellStart"/>
      <w:r w:rsidR="00D739E0">
        <w:rPr>
          <w:rStyle w:val="tlid-translation"/>
        </w:rPr>
        <w:t>περιελάμβανε</w:t>
      </w:r>
      <w:proofErr w:type="spellEnd"/>
      <w:r w:rsidR="00D739E0">
        <w:rPr>
          <w:rStyle w:val="tlid-translation"/>
        </w:rPr>
        <w:t xml:space="preserve"> 120 ασθενείς με σκλήρυνση κατά πλάκας για 1 έτος. Εκ των αποτελεσμάτων, παρατηρήθηκε ότι τα ερεθιστικά συμπτώματα και η υπερδραστήρια ουροδόχος κύστη φαίνεται να είναι η συχνότερη δυσλειτουργία των ούρων σε ασθενείς με σκλήρυνση κατά πλάκας. Οι αρχικές </w:t>
      </w:r>
      <w:proofErr w:type="spellStart"/>
      <w:r w:rsidR="00D739E0">
        <w:rPr>
          <w:rStyle w:val="tlid-translation"/>
        </w:rPr>
        <w:t>ουροδυναμικές</w:t>
      </w:r>
      <w:proofErr w:type="spellEnd"/>
      <w:r w:rsidR="00D739E0">
        <w:rPr>
          <w:rStyle w:val="tlid-translation"/>
        </w:rPr>
        <w:t xml:space="preserve"> ανωμαλίες σχετίζονται με την χειρότερη έκβαση της δυσλειτουργίας των ούρων μετά από 1 έτος σύμφωνα με τους μελετητές.</w:t>
      </w:r>
    </w:p>
    <w:p w:rsidR="00DF7278" w:rsidRPr="006A7992" w:rsidRDefault="00A50CA8" w:rsidP="00A50CA8">
      <w:pPr>
        <w:pStyle w:val="3"/>
        <w:rPr>
          <w:lang w:eastAsia="el-GR"/>
        </w:rPr>
      </w:pPr>
      <w:bookmarkStart w:id="34" w:name="_Toc57241636"/>
      <w:r w:rsidRPr="00A50CA8">
        <w:rPr>
          <w:lang w:eastAsia="el-GR"/>
        </w:rPr>
        <w:t xml:space="preserve">2.6.5 </w:t>
      </w:r>
      <w:r w:rsidR="00DF7278" w:rsidRPr="00A50CA8">
        <w:rPr>
          <w:lang w:eastAsia="el-GR"/>
        </w:rPr>
        <w:t>Προβλήματα βάδισης</w:t>
      </w:r>
      <w:bookmarkEnd w:id="34"/>
    </w:p>
    <w:p w:rsidR="00455934" w:rsidRDefault="00266E00" w:rsidP="00266E00">
      <w:r>
        <w:rPr>
          <w:rStyle w:val="tlid-translation"/>
        </w:rPr>
        <w:t>Τα άτομα με σκλήρυνση κατά πλάκας (</w:t>
      </w:r>
      <w:r>
        <w:rPr>
          <w:rStyle w:val="tlid-translation"/>
          <w:lang w:val="en-US"/>
        </w:rPr>
        <w:t>people</w:t>
      </w:r>
      <w:r w:rsidRPr="00266E00">
        <w:rPr>
          <w:rStyle w:val="tlid-translation"/>
        </w:rPr>
        <w:t xml:space="preserve"> </w:t>
      </w:r>
      <w:r>
        <w:rPr>
          <w:rStyle w:val="tlid-translation"/>
          <w:lang w:val="en-US"/>
        </w:rPr>
        <w:t>with</w:t>
      </w:r>
      <w:r w:rsidRPr="00266E00">
        <w:rPr>
          <w:rStyle w:val="tlid-translation"/>
        </w:rPr>
        <w:t xml:space="preserve"> </w:t>
      </w:r>
      <w:r>
        <w:rPr>
          <w:rStyle w:val="tlid-translation"/>
          <w:lang w:val="en-US"/>
        </w:rPr>
        <w:t>multiple</w:t>
      </w:r>
      <w:r w:rsidRPr="00266E00">
        <w:rPr>
          <w:rStyle w:val="tlid-translation"/>
        </w:rPr>
        <w:t xml:space="preserve"> </w:t>
      </w:r>
      <w:r>
        <w:rPr>
          <w:rStyle w:val="tlid-translation"/>
          <w:lang w:val="en-US"/>
        </w:rPr>
        <w:t>sclerosis</w:t>
      </w:r>
      <w:r w:rsidRPr="00266E00">
        <w:rPr>
          <w:rStyle w:val="tlid-translation"/>
        </w:rPr>
        <w:t xml:space="preserve">- </w:t>
      </w:r>
      <w:proofErr w:type="spellStart"/>
      <w:r>
        <w:rPr>
          <w:rStyle w:val="tlid-translation"/>
        </w:rPr>
        <w:t>PwMS</w:t>
      </w:r>
      <w:proofErr w:type="spellEnd"/>
      <w:r>
        <w:rPr>
          <w:rStyle w:val="tlid-translation"/>
        </w:rPr>
        <w:t xml:space="preserve">) συχνά αναφέρουν διαταραχές ισορροπίας και περπατήματος και, κατά συνέπεια, περιορίζονται στην εκτέλεση δραστηριοτήτων και </w:t>
      </w:r>
      <w:r w:rsidR="00556F7D">
        <w:rPr>
          <w:rStyle w:val="tlid-translation"/>
        </w:rPr>
        <w:t>καθημερινών εργασιών</w:t>
      </w:r>
      <w:r>
        <w:rPr>
          <w:rStyle w:val="tlid-translation"/>
        </w:rPr>
        <w:t>. Το περπάτημα μπορεί να επηρεαστεί από νω</w:t>
      </w:r>
      <w:r w:rsidR="00556F7D">
        <w:rPr>
          <w:rStyle w:val="tlid-translation"/>
        </w:rPr>
        <w:t>ρίς κατά τη διάρκεια της νόσου</w:t>
      </w:r>
      <w:r>
        <w:rPr>
          <w:rStyle w:val="tlid-translation"/>
        </w:rPr>
        <w:t xml:space="preserve">. </w:t>
      </w:r>
      <w:r w:rsidR="00556F7D">
        <w:rPr>
          <w:rStyle w:val="tlid-translation"/>
        </w:rPr>
        <w:t>Μ</w:t>
      </w:r>
      <w:r>
        <w:rPr>
          <w:rStyle w:val="tlid-translation"/>
        </w:rPr>
        <w:t xml:space="preserve">ελέτες αναφέρουν ότι οι </w:t>
      </w:r>
      <w:proofErr w:type="spellStart"/>
      <w:r>
        <w:rPr>
          <w:rStyle w:val="tlid-translation"/>
        </w:rPr>
        <w:t>PwMS</w:t>
      </w:r>
      <w:proofErr w:type="spellEnd"/>
      <w:r>
        <w:rPr>
          <w:rStyle w:val="tlid-translation"/>
        </w:rPr>
        <w:t xml:space="preserve"> αντιμετωπίζουν</w:t>
      </w:r>
      <w:r w:rsidR="00556F7D">
        <w:rPr>
          <w:rStyle w:val="tlid-translation"/>
        </w:rPr>
        <w:t xml:space="preserve"> σημαντικό κίνδυνο πτώσης</w:t>
      </w:r>
      <w:r>
        <w:rPr>
          <w:rStyle w:val="tlid-translation"/>
        </w:rPr>
        <w:t xml:space="preserve"> και οι δραστηριότητες περπατήματος συχνά συνδέονται με υψηλότερο κίνδυνο πτώσεων </w:t>
      </w:r>
      <w:r w:rsidR="00556F7D" w:rsidRPr="00556F7D">
        <w:rPr>
          <w:rStyle w:val="tlid-translation"/>
        </w:rPr>
        <w:t>(</w:t>
      </w:r>
      <w:r w:rsidR="00556F7D" w:rsidRPr="00556F7D">
        <w:rPr>
          <w:lang w:val="en-US"/>
        </w:rPr>
        <w:t>Gunn</w:t>
      </w:r>
      <w:r w:rsidR="00556F7D" w:rsidRPr="00556F7D">
        <w:t xml:space="preserve">, </w:t>
      </w:r>
      <w:r w:rsidR="00556F7D" w:rsidRPr="00556F7D">
        <w:rPr>
          <w:lang w:val="en-US"/>
        </w:rPr>
        <w:t>Creanor</w:t>
      </w:r>
      <w:r w:rsidR="00556F7D" w:rsidRPr="00556F7D">
        <w:t xml:space="preserve">, </w:t>
      </w:r>
      <w:r w:rsidR="00556F7D">
        <w:rPr>
          <w:lang w:val="en-US"/>
        </w:rPr>
        <w:t>Haas</w:t>
      </w:r>
      <w:r w:rsidR="00556F7D" w:rsidRPr="00556F7D">
        <w:t xml:space="preserve">, </w:t>
      </w:r>
      <w:r w:rsidR="00556F7D">
        <w:rPr>
          <w:lang w:val="en-US"/>
        </w:rPr>
        <w:t>Marsden</w:t>
      </w:r>
      <w:r w:rsidR="00556F7D" w:rsidRPr="00556F7D">
        <w:t xml:space="preserve"> &amp; </w:t>
      </w:r>
      <w:r w:rsidR="00556F7D">
        <w:rPr>
          <w:lang w:val="en-US"/>
        </w:rPr>
        <w:t>Freeman</w:t>
      </w:r>
      <w:r w:rsidR="00556F7D" w:rsidRPr="00556F7D">
        <w:t xml:space="preserve">, 2014). </w:t>
      </w:r>
      <w:r>
        <w:rPr>
          <w:rStyle w:val="tlid-translation"/>
        </w:rPr>
        <w:t>Μια ανασκόπηση συνοψίζει την ανισορροπία ως μειωμένη ικανότητα διατήρησης μιας θέσης, βραδύτερες προληπτικές αντιδράσεις ισορροπίας όταν καταγράφεται προσπάθεια να φτάσουν σε ένα τελικό σημείο και καθυστερημένη απόκριση καθώς και δυσκο</w:t>
      </w:r>
      <w:r w:rsidR="00032B39">
        <w:rPr>
          <w:rStyle w:val="tlid-translation"/>
        </w:rPr>
        <w:t>λία διατήρησης της σταθερότητας</w:t>
      </w:r>
      <w:r>
        <w:rPr>
          <w:rStyle w:val="tlid-translation"/>
        </w:rPr>
        <w:t xml:space="preserve">. Αρκετοί παράγοντες </w:t>
      </w:r>
      <w:proofErr w:type="spellStart"/>
      <w:r>
        <w:rPr>
          <w:rStyle w:val="tlid-translation"/>
        </w:rPr>
        <w:t>αλληλεπιδρούν</w:t>
      </w:r>
      <w:proofErr w:type="spellEnd"/>
      <w:r>
        <w:rPr>
          <w:rStyle w:val="tlid-translation"/>
        </w:rPr>
        <w:t xml:space="preserve"> στην πρόκληση ανισορροπίας και δυσλειτουργίας στο περπάτημα</w:t>
      </w:r>
      <w:r w:rsidRPr="004A2758">
        <w:rPr>
          <w:rStyle w:val="tlid-translation"/>
        </w:rPr>
        <w:t xml:space="preserve">: μυϊκή αδυναμία, </w:t>
      </w:r>
      <w:proofErr w:type="spellStart"/>
      <w:r w:rsidRPr="004A2758">
        <w:rPr>
          <w:rStyle w:val="tlid-translation"/>
        </w:rPr>
        <w:t>σπαστικότητα</w:t>
      </w:r>
      <w:proofErr w:type="spellEnd"/>
      <w:r w:rsidRPr="004A2758">
        <w:rPr>
          <w:rStyle w:val="tlid-translation"/>
        </w:rPr>
        <w:t xml:space="preserve">, αταξία παρεγκεφαλίδας, επιβράδυνση της </w:t>
      </w:r>
      <w:proofErr w:type="spellStart"/>
      <w:r w:rsidRPr="004A2758">
        <w:rPr>
          <w:rStyle w:val="tlid-translation"/>
        </w:rPr>
        <w:t>σωματοαισθητικής</w:t>
      </w:r>
      <w:proofErr w:type="spellEnd"/>
      <w:r w:rsidRPr="004A2758">
        <w:rPr>
          <w:rStyle w:val="tlid-translation"/>
        </w:rPr>
        <w:t xml:space="preserve"> δραστηριότητας </w:t>
      </w:r>
      <w:r w:rsidR="00032B39" w:rsidRPr="004A2758">
        <w:rPr>
          <w:rStyle w:val="tlid-translation"/>
        </w:rPr>
        <w:t>και κόπωση (</w:t>
      </w:r>
      <w:r w:rsidR="00032B39" w:rsidRPr="004A2758">
        <w:rPr>
          <w:lang w:val="en-US"/>
        </w:rPr>
        <w:t>Cameron</w:t>
      </w:r>
      <w:r w:rsidR="00032B39" w:rsidRPr="004A2758">
        <w:t xml:space="preserve"> &amp; </w:t>
      </w:r>
      <w:r w:rsidR="00032B39" w:rsidRPr="004A2758">
        <w:rPr>
          <w:lang w:val="en-US"/>
        </w:rPr>
        <w:t>Nilsagard</w:t>
      </w:r>
      <w:r w:rsidR="00032B39" w:rsidRPr="004A2758">
        <w:t>, 2013)</w:t>
      </w:r>
      <w:r w:rsidRPr="004A2758">
        <w:rPr>
          <w:rStyle w:val="tlid-translation"/>
        </w:rPr>
        <w:t xml:space="preserve">. Επιπλέον, το περπάτημα κατά την εκτέλεση γνωστικών εργασιών σχετίζεται με μειωμένη ταχύτητα βάδισης και </w:t>
      </w:r>
      <w:r w:rsidR="00280520" w:rsidRPr="004A2758">
        <w:rPr>
          <w:rStyle w:val="tlid-translation"/>
        </w:rPr>
        <w:t xml:space="preserve">το </w:t>
      </w:r>
      <w:r w:rsidR="004A2758" w:rsidRPr="004A2758">
        <w:rPr>
          <w:rStyle w:val="tlid-translation"/>
        </w:rPr>
        <w:t>μήκος διασκελισμού</w:t>
      </w:r>
      <w:r w:rsidRPr="004A2758">
        <w:rPr>
          <w:rStyle w:val="tlid-translation"/>
        </w:rPr>
        <w:t xml:space="preserve"> και θεωρείται</w:t>
      </w:r>
      <w:r w:rsidR="00280520" w:rsidRPr="004A2758">
        <w:rPr>
          <w:rStyle w:val="tlid-translation"/>
        </w:rPr>
        <w:t xml:space="preserve"> ως βασικός</w:t>
      </w:r>
      <w:r w:rsidR="004A2758" w:rsidRPr="004A2758">
        <w:rPr>
          <w:rStyle w:val="tlid-translation"/>
        </w:rPr>
        <w:t xml:space="preserve"> κίνδυνος πτώσης</w:t>
      </w:r>
      <w:r w:rsidRPr="004A2758">
        <w:rPr>
          <w:rStyle w:val="tlid-translation"/>
        </w:rPr>
        <w:t>.</w:t>
      </w:r>
      <w:r w:rsidR="00556F7D" w:rsidRPr="004A2758">
        <w:rPr>
          <w:rStyle w:val="tlid-translation"/>
        </w:rPr>
        <w:t xml:space="preserve"> </w:t>
      </w:r>
      <w:r w:rsidR="00280520" w:rsidRPr="004A2758">
        <w:rPr>
          <w:rStyle w:val="tlid-translation"/>
        </w:rPr>
        <w:t xml:space="preserve">Οι ασθενείς με </w:t>
      </w:r>
      <w:r w:rsidR="00280520" w:rsidRPr="004A2758">
        <w:rPr>
          <w:rStyle w:val="tlid-translation"/>
          <w:lang w:val="en-US"/>
        </w:rPr>
        <w:t>MS</w:t>
      </w:r>
      <w:r w:rsidR="00280520" w:rsidRPr="004A2758">
        <w:rPr>
          <w:rStyle w:val="tlid-translation"/>
        </w:rPr>
        <w:t xml:space="preserve"> έχουν μειωμένη σταθερότητα στον κ</w:t>
      </w:r>
      <w:r w:rsidR="004A2758" w:rsidRPr="004A2758">
        <w:rPr>
          <w:rStyle w:val="tlid-translation"/>
        </w:rPr>
        <w:t>ορμό σε σύγκριση με υγιή άτομα</w:t>
      </w:r>
      <w:r w:rsidR="00280520" w:rsidRPr="004A2758">
        <w:rPr>
          <w:rStyle w:val="tlid-translation"/>
        </w:rPr>
        <w:t>. Σε όρθια ισορροπία, αναφέρονται ελλείμματα με αυξημένη ταλάν</w:t>
      </w:r>
      <w:r w:rsidR="004A2758" w:rsidRPr="004A2758">
        <w:rPr>
          <w:rStyle w:val="tlid-translation"/>
        </w:rPr>
        <w:t>τωση κορμού</w:t>
      </w:r>
      <w:r w:rsidR="00280520" w:rsidRPr="004A2758">
        <w:rPr>
          <w:rStyle w:val="tlid-translation"/>
        </w:rPr>
        <w:t xml:space="preserve">. </w:t>
      </w:r>
      <w:r w:rsidR="004A2758" w:rsidRPr="004A2758">
        <w:rPr>
          <w:rStyle w:val="tlid-translation"/>
        </w:rPr>
        <w:t>(</w:t>
      </w:r>
      <w:r w:rsidR="004A2758" w:rsidRPr="004A2758">
        <w:rPr>
          <w:lang w:val="en-US"/>
        </w:rPr>
        <w:t>Forsberg</w:t>
      </w:r>
      <w:r w:rsidR="004A2758" w:rsidRPr="004A2758">
        <w:t xml:space="preserve">, </w:t>
      </w:r>
      <w:r w:rsidR="004A2758" w:rsidRPr="004A2758">
        <w:rPr>
          <w:lang w:val="en-US"/>
        </w:rPr>
        <w:t>Koch</w:t>
      </w:r>
      <w:r w:rsidR="004A2758" w:rsidRPr="004A2758">
        <w:t xml:space="preserve"> &amp; </w:t>
      </w:r>
      <w:r w:rsidR="004A2758" w:rsidRPr="004A2758">
        <w:rPr>
          <w:lang w:val="en-US"/>
        </w:rPr>
        <w:t>Nilsag</w:t>
      </w:r>
      <w:r w:rsidR="004A2758" w:rsidRPr="004A2758">
        <w:t>å</w:t>
      </w:r>
      <w:r w:rsidR="004A2758" w:rsidRPr="004A2758">
        <w:rPr>
          <w:lang w:val="en-US"/>
        </w:rPr>
        <w:t>rd</w:t>
      </w:r>
      <w:r w:rsidR="004A2758" w:rsidRPr="004A2758">
        <w:t>, 2016).</w:t>
      </w:r>
    </w:p>
    <w:p w:rsidR="00455934" w:rsidRPr="00455934" w:rsidRDefault="00455934" w:rsidP="00266E00">
      <w:r>
        <w:lastRenderedPageBreak/>
        <w:t>Επιπλέον, στην πρόσφατη μελέτη των</w:t>
      </w:r>
      <w:r w:rsidR="00F04DFF">
        <w:rPr>
          <w:lang w:val="en-US"/>
        </w:rPr>
        <w:t>Craig</w:t>
      </w:r>
      <w:r w:rsidR="00F04DFF" w:rsidRPr="008C278E">
        <w:t xml:space="preserve">, </w:t>
      </w:r>
      <w:r w:rsidR="00F04DFF">
        <w:rPr>
          <w:lang w:val="en-US"/>
        </w:rPr>
        <w:t>Bruetsch</w:t>
      </w:r>
      <w:r w:rsidR="00F04DFF" w:rsidRPr="008C278E">
        <w:t xml:space="preserve">, </w:t>
      </w:r>
      <w:r w:rsidR="00F04DFF">
        <w:rPr>
          <w:lang w:val="en-US"/>
        </w:rPr>
        <w:t>Lynch</w:t>
      </w:r>
      <w:r w:rsidR="00F04DFF" w:rsidRPr="008C278E">
        <w:t xml:space="preserve"> &amp; </w:t>
      </w:r>
      <w:r w:rsidR="00F04DFF">
        <w:rPr>
          <w:lang w:val="en-US"/>
        </w:rPr>
        <w:t>Huisinga</w:t>
      </w:r>
      <w:r w:rsidR="00F04DFF" w:rsidRPr="008C278E">
        <w:t xml:space="preserve"> (2020)</w:t>
      </w:r>
      <w:r>
        <w:rPr>
          <w:rStyle w:val="tlid-translation"/>
        </w:rPr>
        <w:t>, οι μετρήσεις του δείκτη πολλαπλής σταθερότητας βάδισης συσχετίστηκαν σημαντικά με κλινικά μέτρα αναπηρίας και κινητικότητας σε άτομα με σκλήρυνση κατά πλάκας (r = 0,354-0,528), αλλά δεν βρέθηκαν συσχετίσεις για αισθητικές κινητικές καθυστερήσεις ή αίσθηση χαμηλότερου άκρου. Πολλαπλοί δείκτες σταθερότητας βάδισης πραγματοποιήθηκαν καθώς και κλινικά ερωτηματολόγια για το διαχωρισμό των όσων ασθενών αντιμετώπιζαν πτώσεις και των όσων δεν αντιμετώπιζαν ανάλογες πτώσεις.</w:t>
      </w:r>
      <w:r w:rsidR="00E93C20">
        <w:rPr>
          <w:rStyle w:val="tlid-translation"/>
        </w:rPr>
        <w:t xml:space="preserve"> Οι μελετητές, λοιπόν, της παραπάνω μελέτης οδηγήθηκαν στην ερμηνεία που αναφέρει ότι οι δείκτες σταθερότητας βάδισης μπορούν δυνητικά να χρησιμοποιηθούν εκτός εργαστηριακής ρύθμισης για τη μέτρηση των χαρακτηριστικών περπατήματος που σχετίζονται με το ιστορικό πτώσης και το επίπεδο αναπηρίας σε άτομα με σκλήρυνση κατά πλάκας.</w:t>
      </w:r>
    </w:p>
    <w:p w:rsidR="00DF7278" w:rsidRPr="006A7992" w:rsidRDefault="00F456AF" w:rsidP="00A50CA8">
      <w:pPr>
        <w:pStyle w:val="3"/>
        <w:rPr>
          <w:lang w:eastAsia="el-GR"/>
        </w:rPr>
      </w:pPr>
      <w:bookmarkStart w:id="35" w:name="_Toc57241637"/>
      <w:r>
        <w:rPr>
          <w:lang w:eastAsia="el-GR"/>
        </w:rPr>
        <w:t>2.6.6</w:t>
      </w:r>
      <w:r w:rsidR="00A50CA8" w:rsidRPr="00A50CA8">
        <w:rPr>
          <w:lang w:eastAsia="el-GR"/>
        </w:rPr>
        <w:t xml:space="preserve"> </w:t>
      </w:r>
      <w:r w:rsidR="00DF7278" w:rsidRPr="00A50CA8">
        <w:rPr>
          <w:lang w:eastAsia="el-GR"/>
        </w:rPr>
        <w:t>Μούδιασμα, ζαλάδα και ίλιγγος</w:t>
      </w:r>
      <w:bookmarkEnd w:id="35"/>
    </w:p>
    <w:p w:rsidR="00786E5B" w:rsidRPr="00C24CBC" w:rsidRDefault="009D5FEC" w:rsidP="008C278E">
      <w:pPr>
        <w:rPr>
          <w:rStyle w:val="tlid-translation"/>
        </w:rPr>
      </w:pPr>
      <w:r>
        <w:rPr>
          <w:rStyle w:val="tlid-translation"/>
        </w:rPr>
        <w:t>Ένα από τα πιο κοινά συμπτώματα παρουσίασης στη σκλήρυνση κατά πλάκας είναι η παραισθησία. Περίπου το 40% των ασθενών ανέφεραν ότι τέτοια συμπτώματα είχαν σημαντική αρνητική επίδραση στις καθημερινές δραστηριότητες. Η επίπονη παραισθησία οδηγεί σε αποφυγή οποιωνδήποτε δραστηριοτήτων ενεργοποίησης.</w:t>
      </w:r>
      <w:r w:rsidRPr="009D5FEC">
        <w:rPr>
          <w:rStyle w:val="tlid-translation"/>
        </w:rPr>
        <w:t xml:space="preserve"> </w:t>
      </w:r>
      <w:r w:rsidR="00786E5B">
        <w:rPr>
          <w:rStyle w:val="tlid-translation"/>
        </w:rPr>
        <w:t xml:space="preserve">Το μούδιασμα και το μυρμήγκιασμα είναι δύο από τα πιο κοινά συμπτώματα της σκλήρυνσης κατά πλάκας (MS). Στην πραγματικότητα, </w:t>
      </w:r>
      <w:r w:rsidR="00C24CBC">
        <w:rPr>
          <w:rStyle w:val="tlid-translation"/>
        </w:rPr>
        <w:t>δύναται να είναι</w:t>
      </w:r>
      <w:r w:rsidR="00786E5B">
        <w:rPr>
          <w:rStyle w:val="tlid-translation"/>
        </w:rPr>
        <w:t xml:space="preserve"> μερικά από τα πρώτα συμπτώματα και μπορεί να </w:t>
      </w:r>
      <w:r w:rsidR="00C24CBC">
        <w:rPr>
          <w:rStyle w:val="tlid-translation"/>
        </w:rPr>
        <w:t>είναι</w:t>
      </w:r>
      <w:r w:rsidR="00786E5B">
        <w:rPr>
          <w:rStyle w:val="tlid-translation"/>
        </w:rPr>
        <w:t xml:space="preserve"> αυτά που </w:t>
      </w:r>
      <w:r w:rsidR="00C24CBC">
        <w:rPr>
          <w:rStyle w:val="tlid-translation"/>
        </w:rPr>
        <w:t>οδηγούν στη διάγνωση</w:t>
      </w:r>
      <w:r w:rsidR="00786E5B">
        <w:rPr>
          <w:rStyle w:val="tlid-translation"/>
        </w:rPr>
        <w:t xml:space="preserve">. Ενώ το μούδιασμα </w:t>
      </w:r>
      <w:r w:rsidR="00C24CBC">
        <w:rPr>
          <w:rStyle w:val="tlid-translation"/>
        </w:rPr>
        <w:t>μπορεί να είναι τρομακτική αίσθηση</w:t>
      </w:r>
      <w:r w:rsidR="00786E5B">
        <w:rPr>
          <w:rStyle w:val="tlid-translation"/>
        </w:rPr>
        <w:t xml:space="preserve">, συνήθως δεν </w:t>
      </w:r>
      <w:r w:rsidR="00C24CBC">
        <w:rPr>
          <w:rStyle w:val="tlid-translation"/>
        </w:rPr>
        <w:t>δύναται να απενεργοποιήσει τον ασθενή</w:t>
      </w:r>
      <w:r w:rsidR="00786E5B">
        <w:rPr>
          <w:rStyle w:val="tlid-translation"/>
        </w:rPr>
        <w:t xml:space="preserve"> όσο τα κινητικά συμπτώματα. </w:t>
      </w:r>
      <w:r w:rsidR="00C24CBC">
        <w:rPr>
          <w:rStyle w:val="tlid-translation"/>
        </w:rPr>
        <w:t>Με την παρουσία του μουδιάσματος δ</w:t>
      </w:r>
      <w:r w:rsidR="00786E5B">
        <w:rPr>
          <w:rStyle w:val="tlid-translation"/>
        </w:rPr>
        <w:t>εν σημαίν</w:t>
      </w:r>
      <w:r w:rsidR="00C24CBC">
        <w:rPr>
          <w:rStyle w:val="tlid-translation"/>
        </w:rPr>
        <w:t>ει</w:t>
      </w:r>
      <w:r w:rsidR="00786E5B">
        <w:rPr>
          <w:rStyle w:val="tlid-translation"/>
        </w:rPr>
        <w:t xml:space="preserve"> απαραίτητα ότι η σκλήρυνση κατά πλάκας </w:t>
      </w:r>
      <w:r w:rsidR="00C24CBC">
        <w:rPr>
          <w:rStyle w:val="tlid-translation"/>
        </w:rPr>
        <w:t xml:space="preserve">προοδεύει αλλά απλώς ο ασθενής να </w:t>
      </w:r>
      <w:r w:rsidR="00786E5B">
        <w:rPr>
          <w:rStyle w:val="tlid-translation"/>
        </w:rPr>
        <w:t>υποφέρε</w:t>
      </w:r>
      <w:r w:rsidR="00C24CBC">
        <w:rPr>
          <w:rStyle w:val="tlid-translation"/>
        </w:rPr>
        <w:t>ι</w:t>
      </w:r>
      <w:r w:rsidR="00786E5B">
        <w:rPr>
          <w:rStyle w:val="tlid-translation"/>
        </w:rPr>
        <w:t xml:space="preserve"> είτε από υποτροπή.</w:t>
      </w:r>
    </w:p>
    <w:p w:rsidR="008C278E" w:rsidRPr="006A7992" w:rsidRDefault="009D5FEC" w:rsidP="008C278E">
      <w:r>
        <w:rPr>
          <w:rStyle w:val="tlid-translation"/>
        </w:rPr>
        <w:t>Ο</w:t>
      </w:r>
      <w:r w:rsidR="008C278E">
        <w:rPr>
          <w:rStyle w:val="tlid-translation"/>
        </w:rPr>
        <w:t xml:space="preserve"> ίλιγγος </w:t>
      </w:r>
      <w:r>
        <w:rPr>
          <w:rStyle w:val="tlid-translation"/>
        </w:rPr>
        <w:t xml:space="preserve">και η ζαλάδα </w:t>
      </w:r>
      <w:r w:rsidR="008C278E">
        <w:rPr>
          <w:rStyle w:val="tlid-translation"/>
        </w:rPr>
        <w:t xml:space="preserve">είναι </w:t>
      </w:r>
      <w:r>
        <w:rPr>
          <w:rStyle w:val="tlid-translation"/>
        </w:rPr>
        <w:t>κοινά</w:t>
      </w:r>
      <w:r w:rsidR="008C278E">
        <w:rPr>
          <w:rStyle w:val="tlid-translation"/>
        </w:rPr>
        <w:t xml:space="preserve"> </w:t>
      </w:r>
      <w:r>
        <w:rPr>
          <w:rStyle w:val="tlid-translation"/>
        </w:rPr>
        <w:t>συμπτώματα</w:t>
      </w:r>
      <w:r w:rsidR="008C278E">
        <w:rPr>
          <w:rStyle w:val="tlid-translation"/>
        </w:rPr>
        <w:t xml:space="preserve"> της σκλήρυνσης κατά πλάκας (MS) που μπορεί να προκλη</w:t>
      </w:r>
      <w:r>
        <w:rPr>
          <w:rStyle w:val="tlid-translation"/>
        </w:rPr>
        <w:t>θούν</w:t>
      </w:r>
      <w:r w:rsidR="008C278E">
        <w:rPr>
          <w:rStyle w:val="tlid-translation"/>
        </w:rPr>
        <w:t xml:space="preserve"> από μια κεντρική ή περιφερειακή εμπλοκή των </w:t>
      </w:r>
      <w:proofErr w:type="spellStart"/>
      <w:r w:rsidR="008C278E">
        <w:rPr>
          <w:rStyle w:val="tlid-translation"/>
        </w:rPr>
        <w:t>αιθουσαίων</w:t>
      </w:r>
      <w:proofErr w:type="spellEnd"/>
      <w:r w:rsidR="008C278E">
        <w:rPr>
          <w:rStyle w:val="tlid-translation"/>
        </w:rPr>
        <w:t xml:space="preserve"> οδών. Η μαγνητική τομογραφία (MRI) χρησιμοποιείται συνήθως για την αξιολόγηση της εξέλιξης της σκλήρυνσης κατά πλάκας αλλά δεν είναι αρκετά ευαίσθητη για την ανίχνευση μικρών βλαβών</w:t>
      </w:r>
      <w:r w:rsidR="008C278E" w:rsidRPr="008C278E">
        <w:rPr>
          <w:rStyle w:val="tlid-translation"/>
        </w:rPr>
        <w:t xml:space="preserve"> (</w:t>
      </w:r>
      <w:r w:rsidR="008C278E" w:rsidRPr="008C278E">
        <w:rPr>
          <w:lang w:val="en-US"/>
        </w:rPr>
        <w:t>Di</w:t>
      </w:r>
      <w:r w:rsidR="008C278E" w:rsidRPr="008C278E">
        <w:t xml:space="preserve"> </w:t>
      </w:r>
      <w:r w:rsidR="008C278E" w:rsidRPr="008C278E">
        <w:rPr>
          <w:lang w:val="en-US"/>
        </w:rPr>
        <w:t>Stadio</w:t>
      </w:r>
      <w:r w:rsidR="008C278E" w:rsidRPr="008C278E">
        <w:t xml:space="preserve">, </w:t>
      </w:r>
      <w:r w:rsidR="008C278E" w:rsidRPr="008C278E">
        <w:rPr>
          <w:lang w:val="en-US"/>
        </w:rPr>
        <w:t>Dipietro</w:t>
      </w:r>
      <w:r w:rsidR="008C278E" w:rsidRPr="008C278E">
        <w:t xml:space="preserve">, </w:t>
      </w:r>
      <w:r w:rsidR="008C278E" w:rsidRPr="008C278E">
        <w:rPr>
          <w:lang w:val="en-US"/>
        </w:rPr>
        <w:t>Ralli</w:t>
      </w:r>
      <w:r w:rsidR="008C278E" w:rsidRPr="008C278E">
        <w:t xml:space="preserve">, </w:t>
      </w:r>
      <w:r w:rsidR="008C278E" w:rsidRPr="008C278E">
        <w:rPr>
          <w:lang w:val="en-US"/>
        </w:rPr>
        <w:t>Greco</w:t>
      </w:r>
      <w:r w:rsidR="008C278E" w:rsidRPr="008C278E">
        <w:t xml:space="preserve">,  </w:t>
      </w:r>
      <w:r w:rsidR="008C278E" w:rsidRPr="008C278E">
        <w:rPr>
          <w:lang w:val="en-US"/>
        </w:rPr>
        <w:t>Ricci</w:t>
      </w:r>
      <w:r w:rsidR="008C278E" w:rsidRPr="008C278E">
        <w:t xml:space="preserve"> &amp; </w:t>
      </w:r>
      <w:r w:rsidR="008C278E" w:rsidRPr="008C278E">
        <w:rPr>
          <w:lang w:val="en-US"/>
        </w:rPr>
        <w:t>Bernitsas</w:t>
      </w:r>
      <w:r w:rsidR="008C278E" w:rsidRPr="008C278E">
        <w:t>, 2019).</w:t>
      </w:r>
    </w:p>
    <w:p w:rsidR="009212E3" w:rsidRPr="006A7992" w:rsidRDefault="009212E3" w:rsidP="008C278E">
      <w:pPr>
        <w:rPr>
          <w:rStyle w:val="tlid-translation"/>
        </w:rPr>
      </w:pPr>
      <w:r>
        <w:rPr>
          <w:rStyle w:val="tlid-translation"/>
        </w:rPr>
        <w:t xml:space="preserve">Το εγκεφαλικό στέλεχος και η παρεγκεφαλίδα συνδέονται λειτουργικά στον έλεγχο της εισόδου των αισθητηριακών κέντρων και των κέντρων εξόδου για την κίνηση. Συνδέονται επίσης με το οπτικοακουστικό σύστημα, το οποίο συμμετέχει στην </w:t>
      </w:r>
      <w:proofErr w:type="spellStart"/>
      <w:r>
        <w:rPr>
          <w:rStyle w:val="tlid-translation"/>
        </w:rPr>
        <w:t>πολυαισθητοποιημένη</w:t>
      </w:r>
      <w:proofErr w:type="spellEnd"/>
      <w:r>
        <w:rPr>
          <w:rStyle w:val="tlid-translation"/>
        </w:rPr>
        <w:t xml:space="preserve"> ολοκλήρωση και στον συντονισμό των κινητικών απαντήσεων του ατόμου. Έτσι, σε ασθενείς με σκλήρυνση κατά πλάκας (MS), οι οποίοι συχνά παραπονούνται για ίλιγγο, θα πρέπει να διεξάγουν πάντοτε ακριβή </w:t>
      </w:r>
      <w:proofErr w:type="spellStart"/>
      <w:r>
        <w:rPr>
          <w:rStyle w:val="tlid-translation"/>
        </w:rPr>
        <w:t>νευροφυσιολογική</w:t>
      </w:r>
      <w:proofErr w:type="spellEnd"/>
      <w:r>
        <w:rPr>
          <w:rStyle w:val="tlid-translation"/>
        </w:rPr>
        <w:t xml:space="preserve"> διερεύνηση του εγκεφάλου. Ωστόσο, ο ίλιγγος </w:t>
      </w:r>
      <w:r>
        <w:rPr>
          <w:rStyle w:val="tlid-translation"/>
        </w:rPr>
        <w:lastRenderedPageBreak/>
        <w:t xml:space="preserve">σε ασθενείς με σκλήρυνση κατά πλάκας μπορεί επίσης να προκληθεί από μια περιφερική κατάσταση που ονομάζεται καλοήθης </w:t>
      </w:r>
      <w:proofErr w:type="spellStart"/>
      <w:r>
        <w:rPr>
          <w:rStyle w:val="tlid-translation"/>
        </w:rPr>
        <w:t>παροξυσμικός</w:t>
      </w:r>
      <w:proofErr w:type="spellEnd"/>
      <w:r>
        <w:rPr>
          <w:rStyle w:val="tlid-translation"/>
        </w:rPr>
        <w:t xml:space="preserve"> ίλιγγος θέσης (</w:t>
      </w:r>
      <w:proofErr w:type="spellStart"/>
      <w:r w:rsidRPr="009212E3">
        <w:rPr>
          <w:rStyle w:val="tlid-translation"/>
        </w:rPr>
        <w:t>benign</w:t>
      </w:r>
      <w:proofErr w:type="spellEnd"/>
      <w:r w:rsidRPr="009212E3">
        <w:rPr>
          <w:rStyle w:val="tlid-translation"/>
        </w:rPr>
        <w:t xml:space="preserve"> </w:t>
      </w:r>
      <w:proofErr w:type="spellStart"/>
      <w:r w:rsidRPr="009212E3">
        <w:rPr>
          <w:rStyle w:val="tlid-translation"/>
        </w:rPr>
        <w:t>paroxysmal</w:t>
      </w:r>
      <w:proofErr w:type="spellEnd"/>
      <w:r w:rsidRPr="009212E3">
        <w:rPr>
          <w:rStyle w:val="tlid-translation"/>
        </w:rPr>
        <w:t xml:space="preserve"> </w:t>
      </w:r>
      <w:proofErr w:type="spellStart"/>
      <w:r w:rsidRPr="009212E3">
        <w:rPr>
          <w:rStyle w:val="tlid-translation"/>
        </w:rPr>
        <w:t>positional</w:t>
      </w:r>
      <w:proofErr w:type="spellEnd"/>
      <w:r w:rsidRPr="009212E3">
        <w:rPr>
          <w:rStyle w:val="tlid-translation"/>
        </w:rPr>
        <w:t xml:space="preserve"> </w:t>
      </w:r>
      <w:proofErr w:type="spellStart"/>
      <w:r w:rsidRPr="009212E3">
        <w:rPr>
          <w:rStyle w:val="tlid-translation"/>
        </w:rPr>
        <w:t>vertigo</w:t>
      </w:r>
      <w:proofErr w:type="spellEnd"/>
      <w:r>
        <w:rPr>
          <w:rStyle w:val="tlid-translation"/>
        </w:rPr>
        <w:t xml:space="preserve">- BPPV), ανεξάρτητα από την παρουσία κεντρικών άτυπων σημείων. Λόγω της ύπαρξης διαφορετικών, περιφερειακών ή κεντρικών, </w:t>
      </w:r>
      <w:proofErr w:type="spellStart"/>
      <w:r>
        <w:rPr>
          <w:rStyle w:val="tlid-translation"/>
        </w:rPr>
        <w:t>αιθουσαίων</w:t>
      </w:r>
      <w:proofErr w:type="spellEnd"/>
      <w:r>
        <w:rPr>
          <w:rStyle w:val="tlid-translation"/>
        </w:rPr>
        <w:t xml:space="preserve"> ελλειμμάτων σε άτομα με σκλήρυνση κατά πλάκας, είναι σημαντικό να αναπτυχθούν επαρκείς διαφορικές διαγνωστικές στρατηγικές.</w:t>
      </w:r>
    </w:p>
    <w:p w:rsidR="009D5FEC" w:rsidRPr="006A7992" w:rsidRDefault="009D5FEC" w:rsidP="008C278E">
      <w:pPr>
        <w:rPr>
          <w:lang w:eastAsia="el-GR"/>
        </w:rPr>
      </w:pPr>
    </w:p>
    <w:p w:rsidR="00DF7278" w:rsidRPr="001B02F9" w:rsidRDefault="00A50CA8" w:rsidP="00A50CA8">
      <w:pPr>
        <w:pStyle w:val="3"/>
        <w:rPr>
          <w:lang w:eastAsia="el-GR"/>
        </w:rPr>
      </w:pPr>
      <w:bookmarkStart w:id="36" w:name="_Toc57241638"/>
      <w:r w:rsidRPr="00A50CA8">
        <w:rPr>
          <w:lang w:eastAsia="el-GR"/>
        </w:rPr>
        <w:t>2.6.</w:t>
      </w:r>
      <w:r w:rsidR="00F456AF">
        <w:rPr>
          <w:lang w:eastAsia="el-GR"/>
        </w:rPr>
        <w:t>7</w:t>
      </w:r>
      <w:r w:rsidRPr="00A50CA8">
        <w:rPr>
          <w:lang w:eastAsia="el-GR"/>
        </w:rPr>
        <w:t xml:space="preserve"> </w:t>
      </w:r>
      <w:r w:rsidR="00DF7278" w:rsidRPr="00A50CA8">
        <w:rPr>
          <w:lang w:eastAsia="el-GR"/>
        </w:rPr>
        <w:t>Γνωστικές αλλαγές</w:t>
      </w:r>
      <w:bookmarkEnd w:id="36"/>
    </w:p>
    <w:p w:rsidR="009D5FEC" w:rsidRDefault="001B02F9" w:rsidP="009D5FEC">
      <w:pPr>
        <w:rPr>
          <w:rStyle w:val="tlid-translation"/>
        </w:rPr>
      </w:pPr>
      <w:r>
        <w:rPr>
          <w:rStyle w:val="tlid-translation"/>
        </w:rPr>
        <w:t>Οι γνωστικές αλλαγές</w:t>
      </w:r>
      <w:r w:rsidR="009D5FEC">
        <w:rPr>
          <w:rStyle w:val="tlid-translation"/>
        </w:rPr>
        <w:t xml:space="preserve"> αναγνωρίζ</w:t>
      </w:r>
      <w:r>
        <w:rPr>
          <w:rStyle w:val="tlid-translation"/>
        </w:rPr>
        <w:t>ον</w:t>
      </w:r>
      <w:r w:rsidR="009D5FEC">
        <w:rPr>
          <w:rStyle w:val="tlid-translation"/>
        </w:rPr>
        <w:t xml:space="preserve">ται ως ένα διαδεδομένο και εξουθενωτικό σύμπτωμα της σκλήρυνσης κατά πλάκας (MS), </w:t>
      </w:r>
      <w:r>
        <w:rPr>
          <w:rStyle w:val="tlid-translation"/>
        </w:rPr>
        <w:t xml:space="preserve">με </w:t>
      </w:r>
      <w:r w:rsidR="009D5FEC">
        <w:rPr>
          <w:rStyle w:val="tlid-translation"/>
        </w:rPr>
        <w:t xml:space="preserve">ειδικά ελλείμματα στην επεισοδιακή μνήμη και την ταχύτητα επεξεργασίας. Η ομάδα ερευνητών και κλινικών γιατρών με ποικίλη εμπειρογνωμοσύνη εξέτασε την τρέχουσα κατάσταση του πεδίου και εντοπίζουμε πολλές σημαντικές πρακτικές και θεωρητικές προκλήσεις, συμπεριλαμβανομένων βασικών κενών γνώσεων και μεθοδολογικών περιορισμών που σχετίζονται με (1) κατανόηση και μέτρηση των γνωστικών ελλειμμάτων, ( 2) </w:t>
      </w:r>
      <w:r>
        <w:rPr>
          <w:rStyle w:val="tlid-translation"/>
        </w:rPr>
        <w:t xml:space="preserve">τον </w:t>
      </w:r>
      <w:proofErr w:type="spellStart"/>
      <w:r>
        <w:rPr>
          <w:rStyle w:val="tlid-translation"/>
        </w:rPr>
        <w:t>νευροαπεικονισμό</w:t>
      </w:r>
      <w:proofErr w:type="spellEnd"/>
      <w:r w:rsidR="009D5FEC">
        <w:rPr>
          <w:rStyle w:val="tlid-translation"/>
        </w:rPr>
        <w:t xml:space="preserve"> νευρικών βάσεων και συσχετισμών ελλειμμάτων και (3) </w:t>
      </w:r>
      <w:r>
        <w:rPr>
          <w:rStyle w:val="tlid-translation"/>
        </w:rPr>
        <w:t xml:space="preserve">την </w:t>
      </w:r>
      <w:r w:rsidR="009D5FEC">
        <w:rPr>
          <w:rStyle w:val="tlid-translation"/>
        </w:rPr>
        <w:t>ανάπτυξη αποτελεσματικών θεραπειών</w:t>
      </w:r>
      <w:r w:rsidR="00C345CC" w:rsidRPr="00C345CC">
        <w:rPr>
          <w:rStyle w:val="tlid-translation"/>
        </w:rPr>
        <w:t xml:space="preserve"> (</w:t>
      </w:r>
      <w:r w:rsidR="00C345CC" w:rsidRPr="00C345CC">
        <w:rPr>
          <w:lang w:val="en-US"/>
        </w:rPr>
        <w:t>Sumowski</w:t>
      </w:r>
      <w:r w:rsidR="00C345CC" w:rsidRPr="00C345CC">
        <w:t xml:space="preserve">, </w:t>
      </w:r>
      <w:r w:rsidR="00C345CC" w:rsidRPr="00C345CC">
        <w:rPr>
          <w:lang w:val="en-US"/>
        </w:rPr>
        <w:t>Benedict</w:t>
      </w:r>
      <w:r w:rsidR="00C345CC" w:rsidRPr="00C345CC">
        <w:t xml:space="preserve">, </w:t>
      </w:r>
      <w:r w:rsidR="00C345CC" w:rsidRPr="00C345CC">
        <w:rPr>
          <w:lang w:val="en-US"/>
        </w:rPr>
        <w:t>Enzinger</w:t>
      </w:r>
      <w:r w:rsidR="00C345CC" w:rsidRPr="00C345CC">
        <w:t xml:space="preserve">, </w:t>
      </w:r>
      <w:r w:rsidR="00C345CC" w:rsidRPr="00C345CC">
        <w:rPr>
          <w:lang w:val="en-US"/>
        </w:rPr>
        <w:t>Filippi</w:t>
      </w:r>
      <w:r w:rsidR="00C345CC" w:rsidRPr="00C345CC">
        <w:t xml:space="preserve">, </w:t>
      </w:r>
      <w:r w:rsidR="00C345CC" w:rsidRPr="00C345CC">
        <w:rPr>
          <w:lang w:val="en-US"/>
        </w:rPr>
        <w:t>Geurts</w:t>
      </w:r>
      <w:r w:rsidR="00C345CC" w:rsidRPr="00C345CC">
        <w:t xml:space="preserve">, </w:t>
      </w:r>
      <w:r w:rsidR="00C345CC" w:rsidRPr="00C345CC">
        <w:rPr>
          <w:lang w:val="en-US"/>
        </w:rPr>
        <w:t>Hamalainen</w:t>
      </w:r>
      <w:r w:rsidR="00C345CC" w:rsidRPr="00C345CC">
        <w:t xml:space="preserve">, </w:t>
      </w:r>
      <w:r w:rsidR="00C345CC" w:rsidRPr="00C345CC">
        <w:rPr>
          <w:lang w:val="en-US"/>
        </w:rPr>
        <w:t>P</w:t>
      </w:r>
      <w:r w:rsidR="00C345CC" w:rsidRPr="00C345CC">
        <w:t>.</w:t>
      </w:r>
      <w:r w:rsidR="003E0F5F" w:rsidRPr="003E0F5F">
        <w:t>,</w:t>
      </w:r>
      <w:r w:rsidR="00C345CC" w:rsidRPr="00C345CC">
        <w:t xml:space="preserve"> </w:t>
      </w:r>
      <w:r w:rsidR="00C345CC" w:rsidRPr="00C345CC">
        <w:rPr>
          <w:lang w:val="en-US"/>
        </w:rPr>
        <w:t>et</w:t>
      </w:r>
      <w:r w:rsidR="00C345CC" w:rsidRPr="00C345CC">
        <w:t xml:space="preserve"> </w:t>
      </w:r>
      <w:r w:rsidR="00C345CC" w:rsidRPr="00C345CC">
        <w:rPr>
          <w:lang w:val="en-US"/>
        </w:rPr>
        <w:t>al</w:t>
      </w:r>
      <w:r w:rsidR="00C345CC" w:rsidRPr="00C345CC">
        <w:t>. 2018)</w:t>
      </w:r>
      <w:r w:rsidR="009D5FEC">
        <w:rPr>
          <w:rStyle w:val="tlid-translation"/>
        </w:rPr>
        <w:t xml:space="preserve">. </w:t>
      </w:r>
    </w:p>
    <w:p w:rsidR="001B02F9" w:rsidRDefault="001B02F9" w:rsidP="009D5FEC">
      <w:pPr>
        <w:rPr>
          <w:rStyle w:val="tlid-translation"/>
        </w:rPr>
      </w:pPr>
      <w:r>
        <w:rPr>
          <w:rStyle w:val="tlid-translation"/>
        </w:rPr>
        <w:t xml:space="preserve">Έχουν περάσει 140 χρόνια από τότε που ο </w:t>
      </w:r>
      <w:proofErr w:type="spellStart"/>
      <w:r>
        <w:rPr>
          <w:rStyle w:val="tlid-translation"/>
        </w:rPr>
        <w:t>Charcot</w:t>
      </w:r>
      <w:proofErr w:type="spellEnd"/>
      <w:r>
        <w:rPr>
          <w:rStyle w:val="tlid-translation"/>
        </w:rPr>
        <w:t xml:space="preserve"> </w:t>
      </w:r>
      <w:r w:rsidR="003E0F5F" w:rsidRPr="003E0F5F">
        <w:rPr>
          <w:rStyle w:val="tlid-translation"/>
        </w:rPr>
        <w:t xml:space="preserve">(1877) </w:t>
      </w:r>
      <w:r>
        <w:rPr>
          <w:rStyle w:val="tlid-translation"/>
        </w:rPr>
        <w:t>περιέγραψε την «έντονη υπερφόρτωση της μνήμης» με «αντιλήψεις [που] σχηματίζονται αργά» σε άτομ</w:t>
      </w:r>
      <w:r w:rsidR="003E0F5F">
        <w:rPr>
          <w:rStyle w:val="tlid-translation"/>
        </w:rPr>
        <w:t>α με σκλήρυνση κατά πλάκας</w:t>
      </w:r>
      <w:r w:rsidR="003E0F5F" w:rsidRPr="003E0F5F">
        <w:rPr>
          <w:rStyle w:val="tlid-translation"/>
        </w:rPr>
        <w:t>.</w:t>
      </w:r>
      <w:r>
        <w:rPr>
          <w:rStyle w:val="tlid-translation"/>
        </w:rPr>
        <w:t xml:space="preserve"> Τέτοια γνωστικά συμπτώματα </w:t>
      </w:r>
      <w:proofErr w:type="spellStart"/>
      <w:r>
        <w:rPr>
          <w:rStyle w:val="tlid-translation"/>
        </w:rPr>
        <w:t>παραβλέφθηκαν</w:t>
      </w:r>
      <w:proofErr w:type="spellEnd"/>
      <w:r>
        <w:rPr>
          <w:rStyle w:val="tlid-translation"/>
        </w:rPr>
        <w:t xml:space="preserve"> κατά τη διάρκεια ενός μεγάλου μέρους του 20ού αιώνα πριν από τους </w:t>
      </w:r>
      <w:proofErr w:type="spellStart"/>
      <w:r>
        <w:rPr>
          <w:rStyle w:val="tlid-translation"/>
        </w:rPr>
        <w:t>Rao</w:t>
      </w:r>
      <w:proofErr w:type="spellEnd"/>
      <w:r>
        <w:rPr>
          <w:rStyle w:val="tlid-translation"/>
        </w:rPr>
        <w:t xml:space="preserve"> </w:t>
      </w:r>
      <w:proofErr w:type="spellStart"/>
      <w:r>
        <w:rPr>
          <w:rStyle w:val="tlid-translation"/>
        </w:rPr>
        <w:t>et</w:t>
      </w:r>
      <w:proofErr w:type="spellEnd"/>
      <w:r>
        <w:rPr>
          <w:rStyle w:val="tlid-translation"/>
        </w:rPr>
        <w:t xml:space="preserve"> </w:t>
      </w:r>
      <w:proofErr w:type="spellStart"/>
      <w:r>
        <w:rPr>
          <w:rStyle w:val="tlid-translation"/>
        </w:rPr>
        <w:t>al</w:t>
      </w:r>
      <w:proofErr w:type="spellEnd"/>
      <w:r>
        <w:rPr>
          <w:rStyle w:val="tlid-translation"/>
        </w:rPr>
        <w:t xml:space="preserve"> .</w:t>
      </w:r>
      <w:r w:rsidR="003E0F5F" w:rsidRPr="003E0F5F">
        <w:rPr>
          <w:rStyle w:val="tlid-translation"/>
        </w:rPr>
        <w:t>(1989),</w:t>
      </w:r>
      <w:r>
        <w:rPr>
          <w:rStyle w:val="tlid-translation"/>
        </w:rPr>
        <w:t xml:space="preserve"> που έφεραν νέα σημασία στα γνωστικά ελλείμματα της MS στη Νευρολογία πριν από περίπου 25 χρόνια, ξεκινώντας ένα τέταρτο αιώνα έρευνας σχετικά με τον </w:t>
      </w:r>
      <w:proofErr w:type="spellStart"/>
      <w:r>
        <w:rPr>
          <w:rStyle w:val="tlid-translation"/>
        </w:rPr>
        <w:t>επιπολασμό</w:t>
      </w:r>
      <w:proofErr w:type="spellEnd"/>
      <w:r>
        <w:rPr>
          <w:rStyle w:val="tlid-translation"/>
        </w:rPr>
        <w:t xml:space="preserve">, την έκφραση και τις νευρικές βάσεις της MS γνωστικής δυσλειτουργίας. </w:t>
      </w:r>
    </w:p>
    <w:p w:rsidR="001B02F9" w:rsidRPr="006A7992" w:rsidRDefault="001B02F9" w:rsidP="009D5FEC">
      <w:pPr>
        <w:rPr>
          <w:rStyle w:val="tlid-translation"/>
        </w:rPr>
      </w:pPr>
      <w:r>
        <w:rPr>
          <w:rStyle w:val="tlid-translation"/>
        </w:rPr>
        <w:t>Η αργή ταχύτητα της γνωστικής επεξεργασίας και η μείωση της επεισοδιακής μνήμης είναι τα πιο συνηθισμένα γνωστικά ελλείμματα στη σκλήρυνση κατά πλάκας, με πρόσθετες δυσκολίες στην εκτελεστική λειτουργία, τη λεκτική ευχέρεια και την οπτικοακουστική ανάλυση</w:t>
      </w:r>
      <w:r w:rsidR="003E0F5F" w:rsidRPr="003E0F5F">
        <w:rPr>
          <w:rStyle w:val="tlid-translation"/>
        </w:rPr>
        <w:t xml:space="preserve"> (</w:t>
      </w:r>
      <w:r w:rsidR="003E0F5F" w:rsidRPr="003E0F5F">
        <w:rPr>
          <w:rStyle w:val="mixed-citation"/>
          <w:lang w:val="en-US"/>
        </w:rPr>
        <w:t>Deloire</w:t>
      </w:r>
      <w:r w:rsidR="003E0F5F" w:rsidRPr="003E0F5F">
        <w:rPr>
          <w:rStyle w:val="mixed-citation"/>
        </w:rPr>
        <w:t xml:space="preserve">, </w:t>
      </w:r>
      <w:r w:rsidR="003E0F5F" w:rsidRPr="003E0F5F">
        <w:rPr>
          <w:rStyle w:val="mixed-citation"/>
          <w:lang w:val="en-US"/>
        </w:rPr>
        <w:t>Ruet</w:t>
      </w:r>
      <w:r w:rsidR="003E0F5F" w:rsidRPr="003E0F5F">
        <w:rPr>
          <w:rStyle w:val="mixed-citation"/>
        </w:rPr>
        <w:t xml:space="preserve">, </w:t>
      </w:r>
      <w:r w:rsidR="003E0F5F" w:rsidRPr="003E0F5F">
        <w:rPr>
          <w:rStyle w:val="mixed-citation"/>
          <w:lang w:val="en-US"/>
        </w:rPr>
        <w:t>Hamel</w:t>
      </w:r>
      <w:r w:rsidR="003E0F5F" w:rsidRPr="003E0F5F">
        <w:rPr>
          <w:rStyle w:val="mixed-citation"/>
        </w:rPr>
        <w:t xml:space="preserve">, </w:t>
      </w:r>
      <w:r w:rsidR="003E0F5F" w:rsidRPr="003E0F5F">
        <w:rPr>
          <w:rStyle w:val="mixed-citation"/>
          <w:lang w:val="en-US"/>
        </w:rPr>
        <w:t>Bonnet</w:t>
      </w:r>
      <w:r w:rsidR="003E0F5F" w:rsidRPr="003E0F5F">
        <w:rPr>
          <w:rStyle w:val="mixed-citation"/>
        </w:rPr>
        <w:t xml:space="preserve">, </w:t>
      </w:r>
      <w:r w:rsidR="003E0F5F" w:rsidRPr="003E0F5F">
        <w:rPr>
          <w:rStyle w:val="mixed-citation"/>
          <w:lang w:val="en-US"/>
        </w:rPr>
        <w:t>Dousset</w:t>
      </w:r>
      <w:r w:rsidR="003E0F5F" w:rsidRPr="00210A9B">
        <w:rPr>
          <w:rStyle w:val="mixed-citation"/>
        </w:rPr>
        <w:t xml:space="preserve"> &amp;</w:t>
      </w:r>
      <w:r w:rsidR="003E0F5F" w:rsidRPr="003E0F5F">
        <w:rPr>
          <w:rStyle w:val="mixed-citation"/>
        </w:rPr>
        <w:t xml:space="preserve"> </w:t>
      </w:r>
      <w:r w:rsidR="003E0F5F" w:rsidRPr="003E0F5F">
        <w:rPr>
          <w:rStyle w:val="mixed-citation"/>
          <w:lang w:val="en-US"/>
        </w:rPr>
        <w:t>Brochet</w:t>
      </w:r>
      <w:r w:rsidR="003E0F5F" w:rsidRPr="003E0F5F">
        <w:rPr>
          <w:rStyle w:val="mixed-citation"/>
        </w:rPr>
        <w:t>, 2011)</w:t>
      </w:r>
      <w:r w:rsidRPr="001B02F9">
        <w:rPr>
          <w:rStyle w:val="tlid-translation"/>
        </w:rPr>
        <w:t xml:space="preserve"> </w:t>
      </w:r>
      <w:r>
        <w:rPr>
          <w:rStyle w:val="tlid-translation"/>
        </w:rPr>
        <w:t>Οι ασθενείς συχνά αναφέρουν δυσκολίες κατά την πολλαπλή εργασία και την εύρεση λέξεων, οι οποίες είναι πολύ ανεπαρκείς. Η γνωστική μείωση εμφανίζεται συχνά νωρίς στην ασθένεια, αλλά η εξασθένηση είναι πιο διαδεδομένη</w:t>
      </w:r>
      <w:r w:rsidR="009F478A">
        <w:rPr>
          <w:rStyle w:val="tlid-translation"/>
        </w:rPr>
        <w:t xml:space="preserve"> </w:t>
      </w:r>
      <w:r>
        <w:rPr>
          <w:rStyle w:val="tlid-translation"/>
        </w:rPr>
        <w:t>και μπορεί να διαφέρει ποιοτικά (π.χ., κίνδυνος έ</w:t>
      </w:r>
      <w:r w:rsidR="009F478A">
        <w:rPr>
          <w:rStyle w:val="tlid-translation"/>
        </w:rPr>
        <w:t>λλειψης μνήμης κατά την εργασία</w:t>
      </w:r>
      <w:r>
        <w:rPr>
          <w:rStyle w:val="tlid-translation"/>
        </w:rPr>
        <w:t xml:space="preserve">) μεταξύ ατόμων με προοδευτική έναντι υποτροπιάζουσας νόσου. Παρόλο που η </w:t>
      </w:r>
      <w:r>
        <w:rPr>
          <w:rStyle w:val="tlid-translation"/>
        </w:rPr>
        <w:lastRenderedPageBreak/>
        <w:t>σκλήρυνση κατά πλάκας οδηγεί σε ελλείμματα σε πολλαπλούς γνωστ</w:t>
      </w:r>
      <w:r w:rsidR="00210A9B">
        <w:rPr>
          <w:rStyle w:val="tlid-translation"/>
        </w:rPr>
        <w:t>ικούς τομείς σε επίπεδο ομάδας,</w:t>
      </w:r>
      <w:r>
        <w:rPr>
          <w:rStyle w:val="tlid-translation"/>
        </w:rPr>
        <w:t xml:space="preserve"> γνωρίζουμε λίγα για τη μεταβλητότητα στην έκφραση των γνωστικών ελλειμμάτων σε επίπεδο ασθενούς (π.χ., μοντέλα μεμονωμένων έ</w:t>
      </w:r>
      <w:r w:rsidR="009F478A">
        <w:rPr>
          <w:rStyle w:val="tlid-translation"/>
        </w:rPr>
        <w:t xml:space="preserve">ναντι </w:t>
      </w:r>
      <w:proofErr w:type="spellStart"/>
      <w:r w:rsidR="009F478A">
        <w:rPr>
          <w:rStyle w:val="tlid-translation"/>
        </w:rPr>
        <w:t>συνυπάρχοντων</w:t>
      </w:r>
      <w:proofErr w:type="spellEnd"/>
      <w:r w:rsidR="009F478A">
        <w:rPr>
          <w:rStyle w:val="tlid-translation"/>
        </w:rPr>
        <w:t xml:space="preserve"> ελλειμμάτων</w:t>
      </w:r>
      <w:r>
        <w:rPr>
          <w:rStyle w:val="tlid-translation"/>
        </w:rPr>
        <w:t>).</w:t>
      </w:r>
      <w:r w:rsidR="009F478A" w:rsidRPr="009F478A">
        <w:rPr>
          <w:rStyle w:val="tlid-translation"/>
        </w:rPr>
        <w:t xml:space="preserve"> </w:t>
      </w:r>
      <w:r w:rsidR="009F478A">
        <w:rPr>
          <w:rStyle w:val="tlid-translation"/>
        </w:rPr>
        <w:t>Είναι επίσης άγνωστο εάν τα ελλείμματα σε έναν γνωστικό τομέα (π.χ. ταχύτητα) συμβάλλουν στη δυσλειτουργία σε άλλους τομείς (π.χ. μνήμη). Παρόλο που η ταχύτητα και η μνήμη συσχετίζονται στην MS συσχετίζονται επίσης έντονα σε υγιή άτομα (πιθανότατα οφείλεται σε γενική ικανότητα), έτσι τα συμπεράσματα σχετικά με τους άμεσους συνδέσμους μεταξύ της μείωσης της ταχύτητας, της μνήμης ή οποιασδήποτε λειτουργίας ανεξάρτητης από την προνοητική ικανότητα ή τους μεσολαβητές που σχετίζονται με ασθένειες (π.χ., εγκεφαλική ατροφία) είναι πρόωρη και δυνητικά παραπλανητική (δηλαδή, μπορεί να ενθαρρύνει αβάσιμες προσδοκίες, π.χ., ότι η θεραπεία μίας λειτουργίας οδηγεί σε βελτίωση των συσχετισμένων λειτουργιών) (</w:t>
      </w:r>
      <w:r w:rsidR="009F478A">
        <w:rPr>
          <w:rStyle w:val="tlid-translation"/>
          <w:lang w:val="en-US"/>
        </w:rPr>
        <w:t>Sumowski</w:t>
      </w:r>
      <w:r w:rsidR="009F478A" w:rsidRPr="009F478A">
        <w:rPr>
          <w:rStyle w:val="tlid-translation"/>
        </w:rPr>
        <w:t xml:space="preserve">, </w:t>
      </w:r>
      <w:r w:rsidR="00210A9B">
        <w:rPr>
          <w:rStyle w:val="tlid-translation"/>
          <w:lang w:val="en-US"/>
        </w:rPr>
        <w:t>et</w:t>
      </w:r>
      <w:r w:rsidR="00210A9B" w:rsidRPr="00210A9B">
        <w:rPr>
          <w:rStyle w:val="tlid-translation"/>
        </w:rPr>
        <w:t xml:space="preserve"> </w:t>
      </w:r>
      <w:r w:rsidR="00210A9B">
        <w:rPr>
          <w:rStyle w:val="tlid-translation"/>
          <w:lang w:val="en-US"/>
        </w:rPr>
        <w:t>al</w:t>
      </w:r>
      <w:r w:rsidR="00210A9B" w:rsidRPr="00210A9B">
        <w:rPr>
          <w:rStyle w:val="tlid-translation"/>
        </w:rPr>
        <w:t>., 2018)</w:t>
      </w:r>
      <w:r w:rsidR="009F478A">
        <w:rPr>
          <w:rStyle w:val="tlid-translation"/>
        </w:rPr>
        <w:t>.</w:t>
      </w:r>
    </w:p>
    <w:p w:rsidR="003D04CC" w:rsidRPr="006A7992" w:rsidRDefault="003D04CC" w:rsidP="009D5FEC">
      <w:pPr>
        <w:rPr>
          <w:rStyle w:val="tlid-translation"/>
        </w:rPr>
      </w:pPr>
    </w:p>
    <w:p w:rsidR="00DF7278" w:rsidRPr="00CB0079" w:rsidRDefault="00F456AF" w:rsidP="00A50CA8">
      <w:pPr>
        <w:pStyle w:val="3"/>
        <w:rPr>
          <w:lang w:eastAsia="el-GR"/>
        </w:rPr>
      </w:pPr>
      <w:bookmarkStart w:id="37" w:name="_Toc57241639"/>
      <w:r>
        <w:rPr>
          <w:lang w:eastAsia="el-GR"/>
        </w:rPr>
        <w:t>2.6.8</w:t>
      </w:r>
      <w:r w:rsidR="00A50CA8" w:rsidRPr="00A50CA8">
        <w:rPr>
          <w:lang w:eastAsia="el-GR"/>
        </w:rPr>
        <w:t xml:space="preserve"> </w:t>
      </w:r>
      <w:r w:rsidR="00DF7278" w:rsidRPr="00A50CA8">
        <w:rPr>
          <w:lang w:eastAsia="el-GR"/>
        </w:rPr>
        <w:t>Σεξουαλικά προβλήματα</w:t>
      </w:r>
      <w:bookmarkEnd w:id="37"/>
    </w:p>
    <w:p w:rsidR="003D04CC" w:rsidRDefault="003D04CC" w:rsidP="003D04CC">
      <w:pPr>
        <w:rPr>
          <w:rStyle w:val="tlid-translation"/>
        </w:rPr>
      </w:pPr>
      <w:r>
        <w:rPr>
          <w:rStyle w:val="tlid-translation"/>
        </w:rPr>
        <w:t>Συνήθως, τα πρώτα συμπτώματα της σκλήρυνσης κατά πλάκας εμφανίζονται σε άτομα μεταξύ των ηλικιών είκοσι και 40 ετών, επομένως ζητήματα που αφορούν τη σεξουαλική λειτουργία είναι σημαντικοί παράγοντες που επηρεάζουν την ποιότητα ζωής των ασθενών και τη γονιμότητα. Οι νέες γυναίκες που πλήττονται από σκλήρυνση κατά πλάκας αντιμετωπίζουν πρόκληση να βρουν έναν σύντροφο, να δημιουργήσουν σχέση, να δημιουργήσουν οικογένειες και οδηγούν</w:t>
      </w:r>
      <w:r w:rsidR="00CB0079">
        <w:rPr>
          <w:rStyle w:val="tlid-translation"/>
        </w:rPr>
        <w:t>ται</w:t>
      </w:r>
      <w:r>
        <w:rPr>
          <w:rStyle w:val="tlid-translation"/>
        </w:rPr>
        <w:t xml:space="preserve"> σεξουαλικές δραστηριότητες ρουτίνας. Οι χρόνιες ιατρικές καταστάσεις, συμπεριλαμβανομένης της σκλήρυνσης κατά πλάκας, συχνά συνδέονται με σεξουαλική δυσλειτουργία (</w:t>
      </w:r>
      <w:proofErr w:type="spellStart"/>
      <w:r w:rsidR="00CB0079" w:rsidRPr="00CB0079">
        <w:t>sexual</w:t>
      </w:r>
      <w:proofErr w:type="spellEnd"/>
      <w:r w:rsidR="00CB0079" w:rsidRPr="00CB0079">
        <w:t xml:space="preserve"> </w:t>
      </w:r>
      <w:proofErr w:type="spellStart"/>
      <w:r w:rsidR="00CB0079" w:rsidRPr="00CB0079">
        <w:t>dysfunction</w:t>
      </w:r>
      <w:proofErr w:type="spellEnd"/>
      <w:r w:rsidR="00CB0079">
        <w:t xml:space="preserve">- </w:t>
      </w:r>
      <w:r>
        <w:rPr>
          <w:rStyle w:val="tlid-translation"/>
        </w:rPr>
        <w:t xml:space="preserve">SD), η οποία συχνά δεν αναφέρεται και δεν διαγιγνώσκεται. Οι ασθενείς μπορεί να αισθάνονται ότι τα σεξουαλικά τους προβλήματα είναι αρκετά σημαντικά για να </w:t>
      </w:r>
      <w:r w:rsidR="00CB0079">
        <w:rPr>
          <w:rStyle w:val="tlid-translation"/>
        </w:rPr>
        <w:t>το αναφέρουν στο γιατρό τους</w:t>
      </w:r>
      <w:r>
        <w:rPr>
          <w:rStyle w:val="tlid-translation"/>
        </w:rPr>
        <w:t>. Επιπλέον, η σεξουαλική δυσλειτουργία μπορεί να επηρεάσει τον οικογενειακό προγραμματισμό και τη γονιμότητα</w:t>
      </w:r>
      <w:r w:rsidR="00CB0079">
        <w:rPr>
          <w:rStyle w:val="tlid-translation"/>
        </w:rPr>
        <w:t xml:space="preserve"> (</w:t>
      </w:r>
      <w:r w:rsidR="00CB0079">
        <w:rPr>
          <w:rStyle w:val="tlid-translation"/>
          <w:lang w:val="en-US"/>
        </w:rPr>
        <w:t>Bronner</w:t>
      </w:r>
      <w:r w:rsidR="00CB0079" w:rsidRPr="00CB0079">
        <w:rPr>
          <w:rStyle w:val="tlid-translation"/>
        </w:rPr>
        <w:t xml:space="preserve">, </w:t>
      </w:r>
      <w:r w:rsidR="00CB0079">
        <w:rPr>
          <w:rStyle w:val="tlid-translation"/>
          <w:lang w:val="en-US"/>
        </w:rPr>
        <w:t>Elram</w:t>
      </w:r>
      <w:r w:rsidR="00CB0079" w:rsidRPr="00CB0079">
        <w:rPr>
          <w:rStyle w:val="tlid-translation"/>
        </w:rPr>
        <w:t xml:space="preserve">, </w:t>
      </w:r>
      <w:r w:rsidR="00CB0079">
        <w:rPr>
          <w:rStyle w:val="tlid-translation"/>
          <w:lang w:val="en-US"/>
        </w:rPr>
        <w:t>Golomb</w:t>
      </w:r>
      <w:r w:rsidR="00CB0079" w:rsidRPr="00CB0079">
        <w:rPr>
          <w:rStyle w:val="tlid-translation"/>
        </w:rPr>
        <w:t xml:space="preserve"> &amp; </w:t>
      </w:r>
      <w:r w:rsidR="00CB0079">
        <w:rPr>
          <w:rStyle w:val="tlid-translation"/>
          <w:lang w:val="en-US"/>
        </w:rPr>
        <w:t>Korczyn</w:t>
      </w:r>
      <w:r w:rsidR="00CB0079" w:rsidRPr="00CB0079">
        <w:rPr>
          <w:rStyle w:val="tlid-translation"/>
        </w:rPr>
        <w:t>, 2010)</w:t>
      </w:r>
      <w:r>
        <w:rPr>
          <w:rStyle w:val="tlid-translation"/>
        </w:rPr>
        <w:t xml:space="preserve">. </w:t>
      </w:r>
    </w:p>
    <w:p w:rsidR="00CB0079" w:rsidRDefault="00CB0079" w:rsidP="003D04CC">
      <w:pPr>
        <w:rPr>
          <w:rStyle w:val="tlid-translation"/>
        </w:rPr>
      </w:pPr>
      <w:r>
        <w:rPr>
          <w:rStyle w:val="tlid-translation"/>
        </w:rPr>
        <w:t xml:space="preserve">Η σεξουαλική δυσλειτουργία (SD) είναι ένα κοινό παράπονο σε γυναίκες και άνδρες ασθενείς με σκλήρυνση κατά πλάκας (MS) και μπορεί να προκύψει ανά πάσα στιγμή κατά τη διάρκεια της νόσου ακόμη και σε ασθενείς με χαμηλή αναπηρία. Η αύξηση της νευρολογικής και σωματικής βλάβης, των ψυχολογικών παραγόντων και των παρενεργειών της φαρμακευτικής αγωγής πιστεύεται ότι αυξάνει τα ποσοστά της SD. Για να προσδιοριστεί ο </w:t>
      </w:r>
      <w:proofErr w:type="spellStart"/>
      <w:r>
        <w:rPr>
          <w:rStyle w:val="tlid-translation"/>
        </w:rPr>
        <w:t>επιπολασμός</w:t>
      </w:r>
      <w:proofErr w:type="spellEnd"/>
      <w:r>
        <w:rPr>
          <w:rStyle w:val="tlid-translation"/>
        </w:rPr>
        <w:t xml:space="preserve"> διαφόρων συμπτωμάτων SD στους ασθενείς με σκλήρυνση κατά πλάκας, ο αντίκτυπός τους στην </w:t>
      </w:r>
      <w:proofErr w:type="spellStart"/>
      <w:r>
        <w:rPr>
          <w:rStyle w:val="tlid-translation"/>
        </w:rPr>
        <w:t>αυτοαναφερόμενη</w:t>
      </w:r>
      <w:proofErr w:type="spellEnd"/>
      <w:r>
        <w:rPr>
          <w:rStyle w:val="tlid-translation"/>
        </w:rPr>
        <w:t xml:space="preserve"> σεξουαλική δραστηριότητα και η ικανοποίηση (SAS) </w:t>
      </w:r>
      <w:r>
        <w:rPr>
          <w:rStyle w:val="tlid-translation"/>
        </w:rPr>
        <w:lastRenderedPageBreak/>
        <w:t xml:space="preserve">του ασθενούς και να εξεταστούν οι ρυθμοί με τους οποίους οι συμπτωματικοί ασθενείς χρησιμοποιούν θεραπείες για τα παράπονά τους, πραγματοποιήθηκε μία έρευνα από τους </w:t>
      </w:r>
      <w:r>
        <w:rPr>
          <w:rStyle w:val="tlid-translation"/>
          <w:lang w:val="en-US"/>
        </w:rPr>
        <w:t>Orasanu</w:t>
      </w:r>
      <w:r w:rsidRPr="00CB0079">
        <w:rPr>
          <w:rStyle w:val="tlid-translation"/>
        </w:rPr>
        <w:t xml:space="preserve">, </w:t>
      </w:r>
      <w:r>
        <w:rPr>
          <w:rStyle w:val="tlid-translation"/>
          <w:lang w:val="en-US"/>
        </w:rPr>
        <w:t>Grasure</w:t>
      </w:r>
      <w:r w:rsidRPr="00CB0079">
        <w:rPr>
          <w:rStyle w:val="tlid-translation"/>
        </w:rPr>
        <w:t xml:space="preserve">, </w:t>
      </w:r>
      <w:r>
        <w:rPr>
          <w:rStyle w:val="tlid-translation"/>
          <w:lang w:val="en-US"/>
        </w:rPr>
        <w:t>Wyman</w:t>
      </w:r>
      <w:r w:rsidRPr="00CB0079">
        <w:rPr>
          <w:rStyle w:val="tlid-translation"/>
        </w:rPr>
        <w:t xml:space="preserve"> </w:t>
      </w:r>
      <w:r>
        <w:rPr>
          <w:rStyle w:val="tlid-translation"/>
        </w:rPr>
        <w:t>και</w:t>
      </w:r>
      <w:r w:rsidRPr="00CB0079">
        <w:rPr>
          <w:rStyle w:val="tlid-translation"/>
        </w:rPr>
        <w:t xml:space="preserve"> </w:t>
      </w:r>
      <w:r>
        <w:rPr>
          <w:rStyle w:val="tlid-translation"/>
          <w:lang w:val="en-US"/>
        </w:rPr>
        <w:t>Mahajan</w:t>
      </w:r>
      <w:r w:rsidRPr="00CB0079">
        <w:rPr>
          <w:rStyle w:val="tlid-translation"/>
        </w:rPr>
        <w:t xml:space="preserve"> (2013).</w:t>
      </w:r>
      <w:r>
        <w:rPr>
          <w:rStyle w:val="tlid-translation"/>
        </w:rPr>
        <w:t xml:space="preserve"> Πιο συγκεκριμένα, διερευνήθηκαν τα συμπτώματα σεξουαλικής δυσλειτουργίας σε ασθενείς με σκλήρυνση κατά πλάκας και εξετάστηκαν οι ρυθμοί με τους οποίους οι συμπτωματικοί ασθενείς χρησιμοποίησαν θεραπείες. Εκ των αποτελεσμάτων, τονίζεται ότι η σεξουαλική δυσλειτουργία είναι ένα κοινό πρόβλημα υγείας σε ασθενείς με σκλήρυνση κατά πλάκας. Είναι ένα </w:t>
      </w:r>
      <w:proofErr w:type="spellStart"/>
      <w:r>
        <w:rPr>
          <w:rStyle w:val="tlid-translation"/>
        </w:rPr>
        <w:t>πολυπαραγοντικό</w:t>
      </w:r>
      <w:proofErr w:type="spellEnd"/>
      <w:r>
        <w:rPr>
          <w:rStyle w:val="tlid-translation"/>
        </w:rPr>
        <w:t xml:space="preserve"> σύμπτωμα και σχεδόν παρόμοιο σε άνδρες και γυναίκες. Τέλος, τονίστηκε ότι οι περισσότεροι ασθενείς δεν αναζητούν θεραπευτικές επιλογές για τα παράπονα σεξουαλικής δυσλειτουργίας.</w:t>
      </w:r>
    </w:p>
    <w:p w:rsidR="00253066" w:rsidRPr="00CB0079" w:rsidRDefault="00253066" w:rsidP="003D04CC">
      <w:pPr>
        <w:rPr>
          <w:lang w:eastAsia="el-GR"/>
        </w:rPr>
      </w:pPr>
    </w:p>
    <w:p w:rsidR="00DF7278" w:rsidRDefault="00A50CA8" w:rsidP="00A50CA8">
      <w:pPr>
        <w:pStyle w:val="2"/>
        <w:rPr>
          <w:lang w:eastAsia="el-GR"/>
        </w:rPr>
      </w:pPr>
      <w:bookmarkStart w:id="38" w:name="_Toc57241640"/>
      <w:r w:rsidRPr="00A50CA8">
        <w:rPr>
          <w:lang w:eastAsia="el-GR"/>
        </w:rPr>
        <w:t xml:space="preserve">2.7 </w:t>
      </w:r>
      <w:r w:rsidR="00A358AA" w:rsidRPr="00A50CA8">
        <w:rPr>
          <w:lang w:eastAsia="el-GR"/>
        </w:rPr>
        <w:t>Θεραπεία (φαρμακευτική και χειρουργική)</w:t>
      </w:r>
      <w:bookmarkEnd w:id="38"/>
    </w:p>
    <w:p w:rsidR="00751BFE" w:rsidRPr="002E7528" w:rsidRDefault="00B31627" w:rsidP="00253066">
      <w:pPr>
        <w:rPr>
          <w:rStyle w:val="tlid-translation"/>
        </w:rPr>
      </w:pPr>
      <w:r>
        <w:rPr>
          <w:rStyle w:val="tlid-translation"/>
        </w:rPr>
        <w:t xml:space="preserve">Η επιλογή της θεραπείας για ένα άτομο με σκλήρυνση κατά πλάκας θα εξαρτηθεί από τη φάση και την κλινική δραστηριότητα της νόσου, τις σκέψεις των μεμονωμένων ασθενών και την πρακτικότητα χορήγησης του εκάστοτε φαρμάκου. Οι διάφορες θεραπείες έχουν διαφορετικά επίπεδα αποτελεσματικότητας, αλλά ο αντίκτυπος ακόμη και των πιο αποτελεσματικών παραγόντων βραχυπρόθεσμα έως μεσοπρόθεσμα στην πρόοδο της νόσου και την ατροφία του εγκεφάλου είναι μέτρια. Η μετατροπή ή η συνέχιση της προοδευτικής νόσου μπορεί ακόμα να συμβεί κατά τη χρήση των πιο αποτελεσματικών θεραπειών, αν και </w:t>
      </w:r>
      <w:r w:rsidR="00751BFE">
        <w:rPr>
          <w:rStyle w:val="tlid-translation"/>
        </w:rPr>
        <w:t xml:space="preserve">οι </w:t>
      </w:r>
      <w:r>
        <w:rPr>
          <w:rStyle w:val="tlid-translation"/>
        </w:rPr>
        <w:t xml:space="preserve">ενδείξεις νέας δραστηριότητας </w:t>
      </w:r>
      <w:r w:rsidR="00751BFE">
        <w:rPr>
          <w:rStyle w:val="tlid-translation"/>
        </w:rPr>
        <w:t xml:space="preserve">της </w:t>
      </w:r>
      <w:r>
        <w:rPr>
          <w:rStyle w:val="tlid-translation"/>
        </w:rPr>
        <w:t xml:space="preserve">φλεγμονώδους νόσου, όπως </w:t>
      </w:r>
      <w:r w:rsidR="00751BFE">
        <w:rPr>
          <w:rStyle w:val="tlid-translation"/>
        </w:rPr>
        <w:t xml:space="preserve">οι </w:t>
      </w:r>
      <w:r>
        <w:rPr>
          <w:rStyle w:val="tlid-translation"/>
        </w:rPr>
        <w:t xml:space="preserve">κλινικές υποτροπές και </w:t>
      </w:r>
      <w:r w:rsidR="00751BFE">
        <w:rPr>
          <w:rStyle w:val="tlid-translation"/>
        </w:rPr>
        <w:t xml:space="preserve">οι </w:t>
      </w:r>
      <w:r>
        <w:rPr>
          <w:rStyle w:val="tlid-translation"/>
        </w:rPr>
        <w:t xml:space="preserve">νέες βλάβες που εντοπίζονται με απεικόνιση μαγνητικού συντονισμού (MRI), ενδέχεται να έχουν σχεδόν καταργηθεί πλήρως. </w:t>
      </w:r>
      <w:r w:rsidR="00751BFE">
        <w:rPr>
          <w:rStyle w:val="tlid-translation"/>
        </w:rPr>
        <w:t>Τα δ</w:t>
      </w:r>
      <w:r>
        <w:rPr>
          <w:rStyle w:val="tlid-translation"/>
        </w:rPr>
        <w:t xml:space="preserve">ύο </w:t>
      </w:r>
      <w:r w:rsidR="00751BFE">
        <w:rPr>
          <w:rStyle w:val="tlid-translation"/>
        </w:rPr>
        <w:t>φάρμακα</w:t>
      </w:r>
      <w:r>
        <w:rPr>
          <w:rStyle w:val="tlid-translation"/>
        </w:rPr>
        <w:t xml:space="preserve"> με τη μεγαλύτερη αποτελεσματικότητα χορηγούνται και </w:t>
      </w:r>
      <w:r w:rsidR="00751BFE">
        <w:rPr>
          <w:rStyle w:val="tlid-translation"/>
        </w:rPr>
        <w:t>τα</w:t>
      </w:r>
      <w:r>
        <w:rPr>
          <w:rStyle w:val="tlid-translation"/>
        </w:rPr>
        <w:t xml:space="preserve"> δύο ως ενδοφλέβιες εγχύσεις. </w:t>
      </w:r>
      <w:r w:rsidR="00751BFE">
        <w:rPr>
          <w:rStyle w:val="tlid-translation"/>
        </w:rPr>
        <w:t>Το καθένα</w:t>
      </w:r>
      <w:r>
        <w:rPr>
          <w:rStyle w:val="tlid-translation"/>
        </w:rPr>
        <w:t xml:space="preserve"> σχετίζεται με σημαντικούς κινδύνους, είτε με τη μορφή προοδευτικής </w:t>
      </w:r>
      <w:proofErr w:type="spellStart"/>
      <w:r>
        <w:rPr>
          <w:rStyle w:val="tlid-translation"/>
        </w:rPr>
        <w:t>πολυεστιακής</w:t>
      </w:r>
      <w:proofErr w:type="spellEnd"/>
      <w:r>
        <w:rPr>
          <w:rStyle w:val="tlid-translation"/>
        </w:rPr>
        <w:t xml:space="preserve"> </w:t>
      </w:r>
      <w:proofErr w:type="spellStart"/>
      <w:r>
        <w:rPr>
          <w:rStyle w:val="tlid-translation"/>
        </w:rPr>
        <w:t>λευκοεγκεφαλοπάθειας</w:t>
      </w:r>
      <w:proofErr w:type="spellEnd"/>
      <w:r>
        <w:rPr>
          <w:rStyle w:val="tlid-translation"/>
        </w:rPr>
        <w:t xml:space="preserve"> (PML) </w:t>
      </w:r>
      <w:r w:rsidR="00751BFE">
        <w:rPr>
          <w:rStyle w:val="tlid-translation"/>
        </w:rPr>
        <w:t xml:space="preserve"> (</w:t>
      </w:r>
      <w:proofErr w:type="spellStart"/>
      <w:r w:rsidR="00751BFE">
        <w:rPr>
          <w:rStyle w:val="acopre"/>
        </w:rPr>
        <w:t>ναταλιζουμάμπη</w:t>
      </w:r>
      <w:proofErr w:type="spellEnd"/>
      <w:r w:rsidR="00751BFE">
        <w:rPr>
          <w:rStyle w:val="acopre"/>
        </w:rPr>
        <w:t>-</w:t>
      </w:r>
      <w:r>
        <w:rPr>
          <w:rStyle w:val="tlid-translation"/>
        </w:rPr>
        <w:t xml:space="preserve"> </w:t>
      </w:r>
      <w:proofErr w:type="spellStart"/>
      <w:r>
        <w:rPr>
          <w:rStyle w:val="tlid-translation"/>
        </w:rPr>
        <w:t>natalizumab</w:t>
      </w:r>
      <w:proofErr w:type="spellEnd"/>
      <w:r w:rsidR="00751BFE">
        <w:rPr>
          <w:rStyle w:val="tlid-translation"/>
        </w:rPr>
        <w:t>)</w:t>
      </w:r>
      <w:r w:rsidR="002E7528">
        <w:rPr>
          <w:rStyle w:val="tlid-translation"/>
        </w:rPr>
        <w:t xml:space="preserve"> (</w:t>
      </w:r>
      <w:r w:rsidR="002E7528" w:rsidRPr="002E7528">
        <w:rPr>
          <w:bCs/>
          <w:szCs w:val="24"/>
          <w:lang w:val="en-US"/>
        </w:rPr>
        <w:t>Clifford</w:t>
      </w:r>
      <w:r w:rsidR="002E7528" w:rsidRPr="002E7528">
        <w:rPr>
          <w:bCs/>
          <w:szCs w:val="24"/>
        </w:rPr>
        <w:t xml:space="preserve">, </w:t>
      </w:r>
      <w:r w:rsidR="002E7528" w:rsidRPr="002E7528">
        <w:rPr>
          <w:bCs/>
          <w:szCs w:val="24"/>
          <w:lang w:val="en-US"/>
        </w:rPr>
        <w:t>De</w:t>
      </w:r>
      <w:r w:rsidR="002E7528" w:rsidRPr="002E7528">
        <w:rPr>
          <w:bCs/>
          <w:szCs w:val="24"/>
        </w:rPr>
        <w:t xml:space="preserve"> </w:t>
      </w:r>
      <w:r w:rsidR="002E7528" w:rsidRPr="002E7528">
        <w:rPr>
          <w:bCs/>
          <w:szCs w:val="24"/>
          <w:lang w:val="en-US"/>
        </w:rPr>
        <w:t>Luca</w:t>
      </w:r>
      <w:r w:rsidR="002E7528" w:rsidRPr="002E7528">
        <w:rPr>
          <w:bCs/>
          <w:szCs w:val="24"/>
        </w:rPr>
        <w:t xml:space="preserve">, </w:t>
      </w:r>
      <w:r w:rsidR="002E7528" w:rsidRPr="002E7528">
        <w:rPr>
          <w:bCs/>
          <w:szCs w:val="24"/>
          <w:lang w:val="en-US"/>
        </w:rPr>
        <w:t>Simpson</w:t>
      </w:r>
      <w:r w:rsidR="002E7528" w:rsidRPr="002E7528">
        <w:rPr>
          <w:bCs/>
          <w:szCs w:val="24"/>
        </w:rPr>
        <w:t xml:space="preserve">, </w:t>
      </w:r>
      <w:r w:rsidR="002E7528" w:rsidRPr="002E7528">
        <w:rPr>
          <w:bCs/>
          <w:szCs w:val="24"/>
          <w:lang w:val="en-US"/>
        </w:rPr>
        <w:t>et</w:t>
      </w:r>
      <w:r w:rsidR="002E7528" w:rsidRPr="002E7528">
        <w:rPr>
          <w:bCs/>
          <w:szCs w:val="24"/>
        </w:rPr>
        <w:t xml:space="preserve"> </w:t>
      </w:r>
      <w:r w:rsidR="002E7528" w:rsidRPr="002E7528">
        <w:rPr>
          <w:bCs/>
          <w:szCs w:val="24"/>
          <w:lang w:val="en-US"/>
        </w:rPr>
        <w:t>al</w:t>
      </w:r>
      <w:r w:rsidR="002E7528" w:rsidRPr="002E7528">
        <w:rPr>
          <w:bCs/>
          <w:szCs w:val="24"/>
        </w:rPr>
        <w:t>.</w:t>
      </w:r>
      <w:r w:rsidR="002E7528">
        <w:rPr>
          <w:bCs/>
          <w:szCs w:val="24"/>
        </w:rPr>
        <w:t>,</w:t>
      </w:r>
      <w:r w:rsidR="002E7528" w:rsidRPr="002E7528">
        <w:rPr>
          <w:bCs/>
          <w:szCs w:val="24"/>
        </w:rPr>
        <w:t xml:space="preserve"> </w:t>
      </w:r>
      <w:r w:rsidR="002E7528">
        <w:rPr>
          <w:bCs/>
          <w:szCs w:val="24"/>
        </w:rPr>
        <w:t xml:space="preserve">2010) </w:t>
      </w:r>
      <w:r>
        <w:rPr>
          <w:rStyle w:val="tlid-translation"/>
        </w:rPr>
        <w:t xml:space="preserve">ή την ανάπτυξη άλλων </w:t>
      </w:r>
      <w:proofErr w:type="spellStart"/>
      <w:r>
        <w:rPr>
          <w:rStyle w:val="tlid-translation"/>
        </w:rPr>
        <w:t>αυτοάνοσων</w:t>
      </w:r>
      <w:proofErr w:type="spellEnd"/>
      <w:r>
        <w:rPr>
          <w:rStyle w:val="tlid-translation"/>
        </w:rPr>
        <w:t xml:space="preserve"> ασθενειών, συνήθως της νόσου του </w:t>
      </w:r>
      <w:proofErr w:type="spellStart"/>
      <w:r>
        <w:rPr>
          <w:rStyle w:val="tlid-translation"/>
        </w:rPr>
        <w:t>Graves</w:t>
      </w:r>
      <w:proofErr w:type="spellEnd"/>
      <w:r w:rsidR="00751BFE">
        <w:rPr>
          <w:rStyle w:val="tlid-translation"/>
        </w:rPr>
        <w:t xml:space="preserve"> (</w:t>
      </w:r>
      <w:proofErr w:type="spellStart"/>
      <w:r w:rsidR="00751BFE" w:rsidRPr="00751BFE">
        <w:rPr>
          <w:b/>
          <w:bCs/>
        </w:rPr>
        <w:t>Αλεμτουζουμάμπη</w:t>
      </w:r>
      <w:proofErr w:type="spellEnd"/>
      <w:r w:rsidR="00751BFE">
        <w:rPr>
          <w:b/>
          <w:bCs/>
        </w:rPr>
        <w:t xml:space="preserve">- </w:t>
      </w:r>
      <w:proofErr w:type="spellStart"/>
      <w:r>
        <w:rPr>
          <w:rStyle w:val="tlid-translation"/>
        </w:rPr>
        <w:t>alemtuzumab</w:t>
      </w:r>
      <w:proofErr w:type="spellEnd"/>
      <w:r w:rsidR="00751BFE">
        <w:rPr>
          <w:rStyle w:val="tlid-translation"/>
        </w:rPr>
        <w:t>)</w:t>
      </w:r>
      <w:r w:rsidR="002E7528">
        <w:rPr>
          <w:rStyle w:val="tlid-translation"/>
        </w:rPr>
        <w:t xml:space="preserve"> (</w:t>
      </w:r>
      <w:r w:rsidR="002E7528" w:rsidRPr="002E7528">
        <w:rPr>
          <w:bCs/>
          <w:szCs w:val="24"/>
          <w:lang w:val="en-US"/>
        </w:rPr>
        <w:t>Cohen</w:t>
      </w:r>
      <w:r w:rsidR="002E7528">
        <w:rPr>
          <w:bCs/>
          <w:szCs w:val="24"/>
        </w:rPr>
        <w:t>,</w:t>
      </w:r>
      <w:r w:rsidR="002E7528" w:rsidRPr="002E7528">
        <w:rPr>
          <w:bCs/>
          <w:szCs w:val="24"/>
        </w:rPr>
        <w:t xml:space="preserve"> </w:t>
      </w:r>
      <w:r w:rsidR="002E7528" w:rsidRPr="002E7528">
        <w:rPr>
          <w:bCs/>
          <w:szCs w:val="24"/>
          <w:lang w:val="en-US"/>
        </w:rPr>
        <w:t>Coles</w:t>
      </w:r>
      <w:r w:rsidR="002E7528" w:rsidRPr="002E7528">
        <w:rPr>
          <w:bCs/>
          <w:szCs w:val="24"/>
        </w:rPr>
        <w:t xml:space="preserve">, </w:t>
      </w:r>
      <w:r w:rsidR="002E7528" w:rsidRPr="002E7528">
        <w:rPr>
          <w:bCs/>
          <w:szCs w:val="24"/>
          <w:lang w:val="en-US"/>
        </w:rPr>
        <w:t>Arnold</w:t>
      </w:r>
      <w:r w:rsidR="002E7528">
        <w:rPr>
          <w:bCs/>
          <w:szCs w:val="24"/>
        </w:rPr>
        <w:t>,</w:t>
      </w:r>
      <w:r w:rsidR="002E7528" w:rsidRPr="002E7528">
        <w:rPr>
          <w:bCs/>
          <w:szCs w:val="24"/>
        </w:rPr>
        <w:t xml:space="preserve"> </w:t>
      </w:r>
      <w:r w:rsidR="002E7528" w:rsidRPr="002E7528">
        <w:rPr>
          <w:bCs/>
          <w:szCs w:val="24"/>
          <w:lang w:val="en-US"/>
        </w:rPr>
        <w:t>et</w:t>
      </w:r>
      <w:r w:rsidR="002E7528" w:rsidRPr="002E7528">
        <w:rPr>
          <w:bCs/>
          <w:szCs w:val="24"/>
        </w:rPr>
        <w:t xml:space="preserve"> </w:t>
      </w:r>
      <w:r w:rsidR="002E7528" w:rsidRPr="002E7528">
        <w:rPr>
          <w:bCs/>
          <w:szCs w:val="24"/>
          <w:lang w:val="en-US"/>
        </w:rPr>
        <w:t>al</w:t>
      </w:r>
      <w:r w:rsidR="002E7528" w:rsidRPr="002E7528">
        <w:rPr>
          <w:bCs/>
          <w:szCs w:val="24"/>
        </w:rPr>
        <w:t>.</w:t>
      </w:r>
      <w:r w:rsidR="002E7528">
        <w:rPr>
          <w:bCs/>
          <w:szCs w:val="24"/>
        </w:rPr>
        <w:t>, 2012).</w:t>
      </w:r>
    </w:p>
    <w:p w:rsidR="0038716D" w:rsidRDefault="00B31627" w:rsidP="00A83EA4">
      <w:pPr>
        <w:rPr>
          <w:bCs/>
          <w:szCs w:val="24"/>
        </w:rPr>
      </w:pPr>
      <w:r>
        <w:rPr>
          <w:rStyle w:val="tlid-translation"/>
        </w:rPr>
        <w:t>Η ασφάλεια των μακροχρόνιων ενέσιμων θεραπειών (β-</w:t>
      </w:r>
      <w:proofErr w:type="spellStart"/>
      <w:r>
        <w:rPr>
          <w:rStyle w:val="tlid-translation"/>
        </w:rPr>
        <w:t>ιντερφερόνες</w:t>
      </w:r>
      <w:proofErr w:type="spellEnd"/>
      <w:r>
        <w:rPr>
          <w:rStyle w:val="tlid-translation"/>
        </w:rPr>
        <w:t xml:space="preserve"> και οξική </w:t>
      </w:r>
      <w:proofErr w:type="spellStart"/>
      <w:r>
        <w:rPr>
          <w:rStyle w:val="tlid-translation"/>
        </w:rPr>
        <w:t>γ</w:t>
      </w:r>
      <w:r w:rsidR="00751BFE">
        <w:rPr>
          <w:rStyle w:val="tlid-translation"/>
        </w:rPr>
        <w:t>κ</w:t>
      </w:r>
      <w:r>
        <w:rPr>
          <w:rStyle w:val="tlid-translation"/>
        </w:rPr>
        <w:t>λατιραμέρη</w:t>
      </w:r>
      <w:proofErr w:type="spellEnd"/>
      <w:r>
        <w:rPr>
          <w:rStyle w:val="tlid-translation"/>
        </w:rPr>
        <w:t xml:space="preserve">) έχει επιβεβαιωθεί για δύο δεκαετίες χρήσης, αλλά αυτά τα φάρμακα έχουν μικρές παρενέργειες και απαιτούν </w:t>
      </w:r>
      <w:proofErr w:type="spellStart"/>
      <w:r>
        <w:rPr>
          <w:rStyle w:val="tlid-translation"/>
        </w:rPr>
        <w:t>αυτο</w:t>
      </w:r>
      <w:proofErr w:type="spellEnd"/>
      <w:r>
        <w:rPr>
          <w:rStyle w:val="tlid-translation"/>
        </w:rPr>
        <w:t>-χορηγούμενες</w:t>
      </w:r>
      <w:r w:rsidR="002E7528">
        <w:rPr>
          <w:rStyle w:val="tlid-translation"/>
        </w:rPr>
        <w:t xml:space="preserve"> υποδόριες ή ενδομυϊκές ενέσεις</w:t>
      </w:r>
      <w:r w:rsidR="002C67FF">
        <w:rPr>
          <w:rStyle w:val="tlid-translation"/>
        </w:rPr>
        <w:t>.</w:t>
      </w:r>
      <w:r w:rsidR="002E7528">
        <w:rPr>
          <w:rStyle w:val="tlid-translation"/>
        </w:rPr>
        <w:t xml:space="preserve"> </w:t>
      </w:r>
      <w:r>
        <w:rPr>
          <w:rStyle w:val="tlid-translation"/>
        </w:rPr>
        <w:t>Η αποτελεσματικότητά τους στην πρόληψη υποτροπ</w:t>
      </w:r>
      <w:r w:rsidR="00751BFE">
        <w:rPr>
          <w:rStyle w:val="tlid-translation"/>
        </w:rPr>
        <w:t>ών</w:t>
      </w:r>
      <w:r>
        <w:rPr>
          <w:rStyle w:val="tlid-translation"/>
        </w:rPr>
        <w:t xml:space="preserve"> είναι μέτρι</w:t>
      </w:r>
      <w:r w:rsidR="00751BFE">
        <w:rPr>
          <w:rStyle w:val="tlid-translation"/>
        </w:rPr>
        <w:t>α</w:t>
      </w:r>
      <w:r>
        <w:rPr>
          <w:rStyle w:val="tlid-translation"/>
        </w:rPr>
        <w:t>, αλλά το μακροπρόθεσμο όφελος τους στη μείωση των ποσοστών δευτερογεν</w:t>
      </w:r>
      <w:r w:rsidR="002C67FF">
        <w:rPr>
          <w:rStyle w:val="tlid-translation"/>
        </w:rPr>
        <w:t>ούς εξέλιξης είναι ενθαρρυντικό (</w:t>
      </w:r>
      <w:r w:rsidR="002C67FF" w:rsidRPr="002E7528">
        <w:rPr>
          <w:bCs/>
          <w:szCs w:val="24"/>
          <w:lang w:val="en-US"/>
        </w:rPr>
        <w:t>Goodin</w:t>
      </w:r>
      <w:r w:rsidR="002C67FF" w:rsidRPr="002E7528">
        <w:rPr>
          <w:bCs/>
          <w:szCs w:val="24"/>
        </w:rPr>
        <w:t xml:space="preserve">, </w:t>
      </w:r>
      <w:r w:rsidR="002C67FF" w:rsidRPr="002E7528">
        <w:rPr>
          <w:bCs/>
          <w:szCs w:val="24"/>
          <w:lang w:val="en-US"/>
        </w:rPr>
        <w:t>Reder</w:t>
      </w:r>
      <w:r w:rsidR="002C67FF" w:rsidRPr="002E7528">
        <w:rPr>
          <w:bCs/>
          <w:szCs w:val="24"/>
        </w:rPr>
        <w:t xml:space="preserve">, </w:t>
      </w:r>
      <w:r w:rsidR="002C67FF" w:rsidRPr="002E7528">
        <w:rPr>
          <w:bCs/>
          <w:szCs w:val="24"/>
          <w:lang w:val="en-US"/>
        </w:rPr>
        <w:t>Ebers</w:t>
      </w:r>
      <w:r w:rsidR="002C67FF" w:rsidRPr="002E7528">
        <w:rPr>
          <w:bCs/>
          <w:szCs w:val="24"/>
        </w:rPr>
        <w:t xml:space="preserve">, </w:t>
      </w:r>
      <w:r w:rsidR="002C67FF" w:rsidRPr="002E7528">
        <w:rPr>
          <w:bCs/>
          <w:szCs w:val="24"/>
          <w:lang w:val="en-US"/>
        </w:rPr>
        <w:t>et</w:t>
      </w:r>
      <w:r w:rsidR="002C67FF" w:rsidRPr="002E7528">
        <w:rPr>
          <w:bCs/>
          <w:szCs w:val="24"/>
        </w:rPr>
        <w:t xml:space="preserve"> </w:t>
      </w:r>
      <w:r w:rsidR="002C67FF" w:rsidRPr="002E7528">
        <w:rPr>
          <w:bCs/>
          <w:szCs w:val="24"/>
          <w:lang w:val="en-US"/>
        </w:rPr>
        <w:t>al</w:t>
      </w:r>
      <w:r w:rsidR="002C67FF">
        <w:rPr>
          <w:bCs/>
          <w:szCs w:val="24"/>
        </w:rPr>
        <w:t xml:space="preserve">, 2012). </w:t>
      </w:r>
      <w:r>
        <w:rPr>
          <w:rStyle w:val="tlid-translation"/>
        </w:rPr>
        <w:t xml:space="preserve">Τα παρασκευάσματα αυτών των δύο παραγόντων που απαιτούν </w:t>
      </w:r>
      <w:r>
        <w:rPr>
          <w:rStyle w:val="tlid-translation"/>
        </w:rPr>
        <w:lastRenderedPageBreak/>
        <w:t xml:space="preserve">λιγότερο συχνή χορήγηση μπορεί να βελτιώσουν την ανεκτικότητά </w:t>
      </w:r>
      <w:r w:rsidR="00751BFE">
        <w:rPr>
          <w:rStyle w:val="tlid-translation"/>
        </w:rPr>
        <w:t xml:space="preserve">τους από τον ασθενή </w:t>
      </w:r>
      <w:r w:rsidR="0038716D">
        <w:rPr>
          <w:rStyle w:val="tlid-translation"/>
        </w:rPr>
        <w:t>(</w:t>
      </w:r>
      <w:r w:rsidR="0038716D" w:rsidRPr="002E7528">
        <w:rPr>
          <w:bCs/>
          <w:szCs w:val="24"/>
          <w:lang w:val="en-US"/>
        </w:rPr>
        <w:t>Kieseier</w:t>
      </w:r>
      <w:r w:rsidR="0038716D" w:rsidRPr="0038716D">
        <w:rPr>
          <w:bCs/>
          <w:szCs w:val="24"/>
        </w:rPr>
        <w:t xml:space="preserve">, </w:t>
      </w:r>
      <w:r w:rsidR="0038716D" w:rsidRPr="002E7528">
        <w:rPr>
          <w:bCs/>
          <w:szCs w:val="24"/>
          <w:lang w:val="en-US"/>
        </w:rPr>
        <w:t>Arnold</w:t>
      </w:r>
      <w:r w:rsidR="0038716D" w:rsidRPr="0038716D">
        <w:rPr>
          <w:bCs/>
          <w:szCs w:val="24"/>
        </w:rPr>
        <w:t xml:space="preserve">, </w:t>
      </w:r>
      <w:r w:rsidR="0038716D" w:rsidRPr="002E7528">
        <w:rPr>
          <w:bCs/>
          <w:szCs w:val="24"/>
          <w:lang w:val="en-US"/>
        </w:rPr>
        <w:t>Balcer</w:t>
      </w:r>
      <w:r w:rsidR="0038716D" w:rsidRPr="0038716D">
        <w:rPr>
          <w:bCs/>
          <w:szCs w:val="24"/>
        </w:rPr>
        <w:t xml:space="preserve">, </w:t>
      </w:r>
      <w:r w:rsidR="0038716D" w:rsidRPr="002E7528">
        <w:rPr>
          <w:bCs/>
          <w:szCs w:val="24"/>
          <w:lang w:val="en-US"/>
        </w:rPr>
        <w:t>et</w:t>
      </w:r>
      <w:r w:rsidR="0038716D" w:rsidRPr="0038716D">
        <w:rPr>
          <w:bCs/>
          <w:szCs w:val="24"/>
        </w:rPr>
        <w:t xml:space="preserve"> </w:t>
      </w:r>
      <w:r w:rsidR="0038716D" w:rsidRPr="002E7528">
        <w:rPr>
          <w:bCs/>
          <w:szCs w:val="24"/>
          <w:lang w:val="en-US"/>
        </w:rPr>
        <w:t>al</w:t>
      </w:r>
      <w:r w:rsidR="0038716D" w:rsidRPr="0038716D">
        <w:rPr>
          <w:bCs/>
          <w:szCs w:val="24"/>
        </w:rPr>
        <w:t>.</w:t>
      </w:r>
      <w:r w:rsidR="0038716D">
        <w:rPr>
          <w:bCs/>
          <w:szCs w:val="24"/>
        </w:rPr>
        <w:t>, 2014).</w:t>
      </w:r>
      <w:r w:rsidR="0038716D" w:rsidRPr="0038716D">
        <w:rPr>
          <w:bCs/>
          <w:szCs w:val="24"/>
        </w:rPr>
        <w:t xml:space="preserve"> </w:t>
      </w:r>
    </w:p>
    <w:p w:rsidR="00A83EA4" w:rsidRPr="0038716D" w:rsidRDefault="00751BFE" w:rsidP="00A83EA4">
      <w:pPr>
        <w:rPr>
          <w:rStyle w:val="tlid-translation"/>
        </w:rPr>
      </w:pPr>
      <w:r>
        <w:rPr>
          <w:rStyle w:val="tlid-translation"/>
        </w:rPr>
        <w:t xml:space="preserve">Τα </w:t>
      </w:r>
      <w:r w:rsidRPr="00A83EA4">
        <w:rPr>
          <w:rStyle w:val="tlid-translation"/>
        </w:rPr>
        <w:t xml:space="preserve">φάρμακα κατάποσης που περιέχουν την φαρμακευτική ουσία </w:t>
      </w:r>
      <w:proofErr w:type="spellStart"/>
      <w:r w:rsidRPr="00A83EA4">
        <w:rPr>
          <w:rStyle w:val="tlid-translation"/>
        </w:rPr>
        <w:t>φ</w:t>
      </w:r>
      <w:r w:rsidRPr="00A83EA4">
        <w:rPr>
          <w:bCs/>
        </w:rPr>
        <w:t>ινγκολιμόδη</w:t>
      </w:r>
      <w:proofErr w:type="spellEnd"/>
      <w:r w:rsidRPr="00A83EA4">
        <w:rPr>
          <w:bCs/>
        </w:rPr>
        <w:t xml:space="preserve"> (</w:t>
      </w:r>
      <w:proofErr w:type="spellStart"/>
      <w:r w:rsidRPr="00A83EA4">
        <w:rPr>
          <w:rStyle w:val="tlid-translation"/>
        </w:rPr>
        <w:t>fingolimod</w:t>
      </w:r>
      <w:proofErr w:type="spellEnd"/>
      <w:r w:rsidR="00A83EA4" w:rsidRPr="00A83EA4">
        <w:rPr>
          <w:rStyle w:val="tlid-translation"/>
        </w:rPr>
        <w:t>)</w:t>
      </w:r>
      <w:r w:rsidRPr="00A83EA4">
        <w:rPr>
          <w:rStyle w:val="tlid-translation"/>
        </w:rPr>
        <w:t xml:space="preserve"> και</w:t>
      </w:r>
      <w:r>
        <w:rPr>
          <w:rStyle w:val="tlid-translation"/>
        </w:rPr>
        <w:t xml:space="preserve"> </w:t>
      </w:r>
      <w:proofErr w:type="spellStart"/>
      <w:r w:rsidR="00A83EA4">
        <w:rPr>
          <w:b/>
          <w:bCs/>
        </w:rPr>
        <w:t>φουμαρικός</w:t>
      </w:r>
      <w:proofErr w:type="spellEnd"/>
      <w:r w:rsidR="00A83EA4">
        <w:rPr>
          <w:b/>
          <w:bCs/>
        </w:rPr>
        <w:t xml:space="preserve"> </w:t>
      </w:r>
      <w:proofErr w:type="spellStart"/>
      <w:r w:rsidR="00A83EA4">
        <w:rPr>
          <w:b/>
          <w:bCs/>
        </w:rPr>
        <w:t>διμεθυλεστέρα</w:t>
      </w:r>
      <w:proofErr w:type="spellEnd"/>
      <w:r w:rsidR="00A83EA4">
        <w:rPr>
          <w:b/>
          <w:bCs/>
        </w:rPr>
        <w:t xml:space="preserve"> (</w:t>
      </w:r>
      <w:proofErr w:type="spellStart"/>
      <w:r w:rsidR="00A83EA4" w:rsidRPr="00A83EA4">
        <w:rPr>
          <w:b/>
          <w:bCs/>
        </w:rPr>
        <w:t>dimethyl</w:t>
      </w:r>
      <w:proofErr w:type="spellEnd"/>
      <w:r w:rsidR="00A83EA4" w:rsidRPr="00A83EA4">
        <w:rPr>
          <w:b/>
          <w:bCs/>
        </w:rPr>
        <w:t xml:space="preserve"> </w:t>
      </w:r>
      <w:proofErr w:type="spellStart"/>
      <w:r w:rsidR="00A83EA4" w:rsidRPr="00A83EA4">
        <w:rPr>
          <w:b/>
          <w:bCs/>
        </w:rPr>
        <w:t>fumarate</w:t>
      </w:r>
      <w:proofErr w:type="spellEnd"/>
      <w:r w:rsidR="00A83EA4">
        <w:rPr>
          <w:b/>
          <w:bCs/>
        </w:rPr>
        <w:t xml:space="preserve">) </w:t>
      </w:r>
      <w:r>
        <w:rPr>
          <w:rStyle w:val="tlid-translation"/>
        </w:rPr>
        <w:t>έχουν ενδιάμεση αποτελεσματικότητα, φαίνεται να είναι ασφαλ</w:t>
      </w:r>
      <w:r w:rsidR="00A83EA4">
        <w:rPr>
          <w:rStyle w:val="tlid-translation"/>
        </w:rPr>
        <w:t>ή</w:t>
      </w:r>
      <w:r>
        <w:rPr>
          <w:rStyle w:val="tlid-translation"/>
        </w:rPr>
        <w:t xml:space="preserve"> και </w:t>
      </w:r>
      <w:r w:rsidR="00A83EA4">
        <w:rPr>
          <w:rStyle w:val="tlid-translation"/>
        </w:rPr>
        <w:t>έχουν καλή ανεκτικότητα</w:t>
      </w:r>
      <w:r>
        <w:rPr>
          <w:rStyle w:val="tlid-translation"/>
        </w:rPr>
        <w:t xml:space="preserve">. </w:t>
      </w:r>
      <w:r w:rsidR="00A83EA4">
        <w:rPr>
          <w:rStyle w:val="tlid-translation"/>
        </w:rPr>
        <w:t xml:space="preserve">Επιπρόσθετα, </w:t>
      </w:r>
      <w:r>
        <w:rPr>
          <w:rStyle w:val="tlid-translation"/>
        </w:rPr>
        <w:t xml:space="preserve">έχουν σχετικά </w:t>
      </w:r>
      <w:r w:rsidR="00A83EA4">
        <w:rPr>
          <w:rStyle w:val="tlid-translation"/>
        </w:rPr>
        <w:t>χαμηλές</w:t>
      </w:r>
      <w:r>
        <w:rPr>
          <w:rStyle w:val="tlid-translation"/>
        </w:rPr>
        <w:t xml:space="preserve"> ανεπιθύμητες ενέργειες που πρέπει να παρακολουθούνται και να </w:t>
      </w:r>
      <w:r w:rsidR="00A83EA4">
        <w:rPr>
          <w:rStyle w:val="tlid-translation"/>
        </w:rPr>
        <w:t xml:space="preserve">επιζητούν διαχείριση </w:t>
      </w:r>
      <w:r w:rsidR="0038716D">
        <w:rPr>
          <w:rStyle w:val="tlid-translation"/>
        </w:rPr>
        <w:t>(</w:t>
      </w:r>
      <w:r w:rsidR="0038716D" w:rsidRPr="002E7528">
        <w:rPr>
          <w:bCs/>
          <w:szCs w:val="24"/>
          <w:lang w:val="en-US"/>
        </w:rPr>
        <w:t>Gold</w:t>
      </w:r>
      <w:r w:rsidR="0038716D" w:rsidRPr="0038716D">
        <w:rPr>
          <w:bCs/>
          <w:szCs w:val="24"/>
        </w:rPr>
        <w:t xml:space="preserve">, </w:t>
      </w:r>
      <w:r w:rsidR="0038716D" w:rsidRPr="002E7528">
        <w:rPr>
          <w:bCs/>
          <w:szCs w:val="24"/>
          <w:lang w:val="en-US"/>
        </w:rPr>
        <w:t>Kappos</w:t>
      </w:r>
      <w:r w:rsidR="0038716D" w:rsidRPr="0038716D">
        <w:rPr>
          <w:bCs/>
          <w:szCs w:val="24"/>
        </w:rPr>
        <w:t xml:space="preserve">, </w:t>
      </w:r>
      <w:r w:rsidR="0038716D" w:rsidRPr="002E7528">
        <w:rPr>
          <w:bCs/>
          <w:szCs w:val="24"/>
          <w:lang w:val="en-US"/>
        </w:rPr>
        <w:t>Arnold</w:t>
      </w:r>
      <w:r w:rsidR="0038716D" w:rsidRPr="0038716D">
        <w:rPr>
          <w:bCs/>
          <w:szCs w:val="24"/>
        </w:rPr>
        <w:t xml:space="preserve">, </w:t>
      </w:r>
      <w:r w:rsidR="0038716D" w:rsidRPr="002E7528">
        <w:rPr>
          <w:bCs/>
          <w:szCs w:val="24"/>
          <w:lang w:val="en-US"/>
        </w:rPr>
        <w:t>et</w:t>
      </w:r>
      <w:r w:rsidR="0038716D" w:rsidRPr="0038716D">
        <w:rPr>
          <w:bCs/>
          <w:szCs w:val="24"/>
        </w:rPr>
        <w:t xml:space="preserve"> </w:t>
      </w:r>
      <w:r w:rsidR="0038716D" w:rsidRPr="002E7528">
        <w:rPr>
          <w:bCs/>
          <w:szCs w:val="24"/>
          <w:lang w:val="en-US"/>
        </w:rPr>
        <w:t>al</w:t>
      </w:r>
      <w:r w:rsidR="0038716D">
        <w:rPr>
          <w:bCs/>
          <w:szCs w:val="24"/>
        </w:rPr>
        <w:t>., 2012).</w:t>
      </w:r>
    </w:p>
    <w:p w:rsidR="00253066" w:rsidRDefault="00B31627" w:rsidP="00A83EA4">
      <w:pPr>
        <w:rPr>
          <w:bCs/>
          <w:szCs w:val="24"/>
        </w:rPr>
      </w:pPr>
      <w:r w:rsidRPr="00A83EA4">
        <w:rPr>
          <w:rStyle w:val="tlid-translation"/>
        </w:rPr>
        <w:t xml:space="preserve">Η αποτελεσματικότητα </w:t>
      </w:r>
      <w:r w:rsidR="00A83EA4" w:rsidRPr="00A83EA4">
        <w:rPr>
          <w:rStyle w:val="tlid-translation"/>
        </w:rPr>
        <w:t xml:space="preserve">της φαρμακευτικής ουσίας </w:t>
      </w:r>
      <w:proofErr w:type="spellStart"/>
      <w:r w:rsidR="00A83EA4" w:rsidRPr="00A83EA4">
        <w:rPr>
          <w:bCs/>
        </w:rPr>
        <w:t>τεριφλουνομίδη</w:t>
      </w:r>
      <w:proofErr w:type="spellEnd"/>
      <w:r w:rsidR="00A83EA4" w:rsidRPr="00A83EA4">
        <w:rPr>
          <w:bCs/>
        </w:rPr>
        <w:t xml:space="preserve"> (</w:t>
      </w:r>
      <w:r w:rsidR="00A83EA4" w:rsidRPr="00A83EA4">
        <w:rPr>
          <w:bCs/>
          <w:lang w:val="en-US"/>
        </w:rPr>
        <w:t>teriflunomide</w:t>
      </w:r>
      <w:r w:rsidR="00A83EA4" w:rsidRPr="00A83EA4">
        <w:rPr>
          <w:bCs/>
        </w:rPr>
        <w:t>)</w:t>
      </w:r>
      <w:r w:rsidR="00A83EA4" w:rsidRPr="00A83EA4">
        <w:rPr>
          <w:rStyle w:val="tlid-translation"/>
        </w:rPr>
        <w:t>,</w:t>
      </w:r>
      <w:r w:rsidRPr="00A83EA4">
        <w:rPr>
          <w:rStyle w:val="tlid-translation"/>
        </w:rPr>
        <w:t xml:space="preserve"> φαίνεται να βρίσκεται κάπου μεταξύ εκείνων</w:t>
      </w:r>
      <w:r>
        <w:rPr>
          <w:rStyle w:val="tlid-translation"/>
        </w:rPr>
        <w:t xml:space="preserve"> των άλλων δύο από του στόματος χορηγούμενων φαρμάκων και των ενέσιμων θεραπειών (β-</w:t>
      </w:r>
      <w:proofErr w:type="spellStart"/>
      <w:r>
        <w:rPr>
          <w:rStyle w:val="tlid-translation"/>
        </w:rPr>
        <w:t>ιντερφερόνες</w:t>
      </w:r>
      <w:proofErr w:type="spellEnd"/>
      <w:r>
        <w:rPr>
          <w:rStyle w:val="tlid-translation"/>
        </w:rPr>
        <w:t xml:space="preserve"> και οξική </w:t>
      </w:r>
      <w:proofErr w:type="spellStart"/>
      <w:r>
        <w:rPr>
          <w:rStyle w:val="tlid-translation"/>
        </w:rPr>
        <w:t>γ</w:t>
      </w:r>
      <w:r w:rsidR="00A83EA4">
        <w:rPr>
          <w:rStyle w:val="tlid-translation"/>
        </w:rPr>
        <w:t>κλατιραμέρη</w:t>
      </w:r>
      <w:proofErr w:type="spellEnd"/>
      <w:r w:rsidR="00A83EA4">
        <w:rPr>
          <w:rStyle w:val="tlid-translation"/>
        </w:rPr>
        <w:t xml:space="preserve">). Τέλος, </w:t>
      </w:r>
      <w:r>
        <w:rPr>
          <w:rStyle w:val="tlid-translation"/>
        </w:rPr>
        <w:t xml:space="preserve">το προφίλ ασφαλείας </w:t>
      </w:r>
      <w:r w:rsidR="00A83EA4">
        <w:rPr>
          <w:rStyle w:val="tlid-translation"/>
        </w:rPr>
        <w:t>αυτής της ουσίας</w:t>
      </w:r>
      <w:r>
        <w:rPr>
          <w:rStyle w:val="tlid-translation"/>
        </w:rPr>
        <w:t xml:space="preserve"> είναι επίσης καθησυχαστικό </w:t>
      </w:r>
      <w:r w:rsidR="0038716D">
        <w:rPr>
          <w:rStyle w:val="tlid-translation"/>
        </w:rPr>
        <w:t>(</w:t>
      </w:r>
      <w:r w:rsidR="0038716D" w:rsidRPr="0038716D">
        <w:rPr>
          <w:bCs/>
          <w:szCs w:val="24"/>
          <w:lang w:val="en-US"/>
        </w:rPr>
        <w:t>O</w:t>
      </w:r>
      <w:r w:rsidR="0038716D" w:rsidRPr="0038716D">
        <w:rPr>
          <w:bCs/>
          <w:szCs w:val="24"/>
        </w:rPr>
        <w:t>’</w:t>
      </w:r>
      <w:r w:rsidR="0038716D" w:rsidRPr="0038716D">
        <w:rPr>
          <w:bCs/>
          <w:szCs w:val="24"/>
          <w:lang w:val="en-US"/>
        </w:rPr>
        <w:t>Connor</w:t>
      </w:r>
      <w:r w:rsidR="0038716D" w:rsidRPr="0038716D">
        <w:rPr>
          <w:bCs/>
          <w:szCs w:val="24"/>
        </w:rPr>
        <w:t xml:space="preserve">, </w:t>
      </w:r>
      <w:r w:rsidR="0038716D" w:rsidRPr="0038716D">
        <w:rPr>
          <w:bCs/>
          <w:szCs w:val="24"/>
          <w:lang w:val="en-US"/>
        </w:rPr>
        <w:t>Wolinsky</w:t>
      </w:r>
      <w:r w:rsidR="0038716D" w:rsidRPr="0038716D">
        <w:rPr>
          <w:bCs/>
          <w:szCs w:val="24"/>
        </w:rPr>
        <w:t xml:space="preserve">, </w:t>
      </w:r>
      <w:r w:rsidR="0038716D" w:rsidRPr="0038716D">
        <w:rPr>
          <w:bCs/>
          <w:szCs w:val="24"/>
          <w:lang w:val="en-US"/>
        </w:rPr>
        <w:t>Confavreux</w:t>
      </w:r>
      <w:r w:rsidR="0038716D" w:rsidRPr="0038716D">
        <w:rPr>
          <w:bCs/>
          <w:szCs w:val="24"/>
        </w:rPr>
        <w:t xml:space="preserve">, </w:t>
      </w:r>
      <w:r w:rsidR="0038716D" w:rsidRPr="0038716D">
        <w:rPr>
          <w:bCs/>
          <w:szCs w:val="24"/>
          <w:lang w:val="en-US"/>
        </w:rPr>
        <w:t>et</w:t>
      </w:r>
      <w:r w:rsidR="0038716D" w:rsidRPr="0038716D">
        <w:rPr>
          <w:bCs/>
          <w:szCs w:val="24"/>
        </w:rPr>
        <w:t xml:space="preserve"> </w:t>
      </w:r>
      <w:r w:rsidR="0038716D" w:rsidRPr="0038716D">
        <w:rPr>
          <w:bCs/>
          <w:szCs w:val="24"/>
          <w:lang w:val="en-US"/>
        </w:rPr>
        <w:t>al</w:t>
      </w:r>
      <w:r w:rsidR="0038716D">
        <w:rPr>
          <w:bCs/>
          <w:szCs w:val="24"/>
        </w:rPr>
        <w:t>., 2011).</w:t>
      </w:r>
    </w:p>
    <w:p w:rsidR="00FA76C7" w:rsidRDefault="00FA76C7" w:rsidP="00A83EA4">
      <w:pPr>
        <w:rPr>
          <w:bCs/>
          <w:szCs w:val="24"/>
        </w:rPr>
      </w:pPr>
      <w:r>
        <w:rPr>
          <w:rStyle w:val="tlid-translation"/>
        </w:rPr>
        <w:t xml:space="preserve">Προς το παρόν, δεν υπάρχει συγκεκριμένη θεραπεία για τη σκλήρυνση κατά πλάκας. Η θεραπεία της σκλήρυνσης κατά πλάκας βασίστηκε κυρίως στη συνταγή </w:t>
      </w:r>
      <w:proofErr w:type="spellStart"/>
      <w:r>
        <w:rPr>
          <w:rStyle w:val="tlid-translation"/>
        </w:rPr>
        <w:t>ανοσοκατασταλτικών</w:t>
      </w:r>
      <w:proofErr w:type="spellEnd"/>
      <w:r>
        <w:rPr>
          <w:rStyle w:val="tlid-translation"/>
        </w:rPr>
        <w:t xml:space="preserve"> και </w:t>
      </w:r>
      <w:proofErr w:type="spellStart"/>
      <w:r>
        <w:rPr>
          <w:rStyle w:val="tlid-translation"/>
        </w:rPr>
        <w:t>ανοσορυθμιστικών</w:t>
      </w:r>
      <w:proofErr w:type="spellEnd"/>
      <w:r>
        <w:rPr>
          <w:rStyle w:val="tlid-translation"/>
        </w:rPr>
        <w:t xml:space="preserve"> παραγόντων. Ωστόσο, έχουν σχεδιαστεί διάφορες θεραπείες τροποποίησης της νόσου (</w:t>
      </w:r>
      <w:proofErr w:type="spellStart"/>
      <w:r>
        <w:rPr>
          <w:rStyle w:val="tlid-translation"/>
        </w:rPr>
        <w:t>DMTs</w:t>
      </w:r>
      <w:proofErr w:type="spellEnd"/>
      <w:r>
        <w:rPr>
          <w:rStyle w:val="tlid-translation"/>
        </w:rPr>
        <w:t xml:space="preserve">) που μειώνουν το ποσοστό επίθεσης και καθυστερούν την εξέλιξη και στοχεύουν κυρίως τις ρυθμίσεις φλεγμονής σε αυτούς τους ασθενείς. Παρόλο που σημειώθηκαν αξιοσημείωτες εξελίξεις στη θεραπεία της σκλήρυνσης κατά πλάκας, το ποσοστό προοδευτικής αναπηρίας και πρόωρης θνησιμότητας εξακολουθεί να είναι ανησυχητικό. Πρόσφατα, ένα </w:t>
      </w:r>
      <w:proofErr w:type="spellStart"/>
      <w:r>
        <w:rPr>
          <w:rStyle w:val="tlid-translation"/>
        </w:rPr>
        <w:t>μονοκλωνικό</w:t>
      </w:r>
      <w:proofErr w:type="spellEnd"/>
      <w:r>
        <w:rPr>
          <w:rStyle w:val="tlid-translation"/>
        </w:rPr>
        <w:t xml:space="preserve"> αντίσωμα (</w:t>
      </w:r>
      <w:proofErr w:type="spellStart"/>
      <w:r>
        <w:rPr>
          <w:rStyle w:val="tlid-translation"/>
        </w:rPr>
        <w:t>ocrelizumab</w:t>
      </w:r>
      <w:proofErr w:type="spellEnd"/>
      <w:r>
        <w:rPr>
          <w:rStyle w:val="tlid-translation"/>
        </w:rPr>
        <w:t xml:space="preserve">) αποδείχθηκε ωφέλιμο σε μια κλινική δοκιμή πρωτογενούς προοδευτικής σκλήρυνσης κατά πλάκας. Επιπλέον, αξιολογούνται νέες στρατηγικές θεραπείας που επικεντρώνονται στην </w:t>
      </w:r>
      <w:proofErr w:type="spellStart"/>
      <w:r>
        <w:rPr>
          <w:rStyle w:val="tlid-translation"/>
        </w:rPr>
        <w:t>επαναμυελίνωση</w:t>
      </w:r>
      <w:proofErr w:type="spellEnd"/>
      <w:r>
        <w:rPr>
          <w:rStyle w:val="tlid-translation"/>
        </w:rPr>
        <w:t xml:space="preserve"> ή τη </w:t>
      </w:r>
      <w:proofErr w:type="spellStart"/>
      <w:r>
        <w:rPr>
          <w:rStyle w:val="tlid-translation"/>
        </w:rPr>
        <w:t>νευροπροστασία</w:t>
      </w:r>
      <w:proofErr w:type="spellEnd"/>
      <w:r w:rsidR="00A607A8" w:rsidRPr="00A607A8">
        <w:rPr>
          <w:rStyle w:val="tlid-translation"/>
        </w:rPr>
        <w:t xml:space="preserve"> (</w:t>
      </w:r>
      <w:r w:rsidR="00A607A8" w:rsidRPr="00FA76C7">
        <w:rPr>
          <w:bCs/>
          <w:szCs w:val="24"/>
          <w:lang w:val="en-US"/>
        </w:rPr>
        <w:t>Gholamzad</w:t>
      </w:r>
      <w:r w:rsidR="00A607A8" w:rsidRPr="00A607A8">
        <w:rPr>
          <w:bCs/>
          <w:szCs w:val="24"/>
        </w:rPr>
        <w:t xml:space="preserve">, </w:t>
      </w:r>
      <w:r w:rsidR="00A607A8" w:rsidRPr="00FA76C7">
        <w:rPr>
          <w:bCs/>
          <w:szCs w:val="24"/>
          <w:lang w:val="en-US"/>
        </w:rPr>
        <w:t>Ebtekar</w:t>
      </w:r>
      <w:r w:rsidR="00A607A8" w:rsidRPr="00A607A8">
        <w:rPr>
          <w:bCs/>
          <w:szCs w:val="24"/>
        </w:rPr>
        <w:t xml:space="preserve">, </w:t>
      </w:r>
      <w:r w:rsidR="00A607A8" w:rsidRPr="00FA76C7">
        <w:rPr>
          <w:bCs/>
          <w:szCs w:val="24"/>
          <w:lang w:val="en-US"/>
        </w:rPr>
        <w:t>Shafiee</w:t>
      </w:r>
      <w:r w:rsidR="00A607A8" w:rsidRPr="00A607A8">
        <w:rPr>
          <w:bCs/>
          <w:szCs w:val="24"/>
        </w:rPr>
        <w:t xml:space="preserve">,  </w:t>
      </w:r>
      <w:r w:rsidR="00A607A8" w:rsidRPr="00FA76C7">
        <w:rPr>
          <w:bCs/>
          <w:szCs w:val="24"/>
          <w:lang w:val="en-US"/>
        </w:rPr>
        <w:t>Az</w:t>
      </w:r>
      <w:r w:rsidR="00A607A8">
        <w:rPr>
          <w:bCs/>
          <w:szCs w:val="24"/>
          <w:lang w:val="en-US"/>
        </w:rPr>
        <w:t>imi</w:t>
      </w:r>
      <w:r w:rsidR="00A607A8" w:rsidRPr="00A607A8">
        <w:rPr>
          <w:bCs/>
          <w:szCs w:val="24"/>
        </w:rPr>
        <w:t xml:space="preserve">, </w:t>
      </w:r>
      <w:r w:rsidR="00A607A8">
        <w:rPr>
          <w:bCs/>
          <w:szCs w:val="24"/>
          <w:lang w:val="en-US"/>
        </w:rPr>
        <w:t>et</w:t>
      </w:r>
      <w:r w:rsidR="00A607A8" w:rsidRPr="00A607A8">
        <w:rPr>
          <w:bCs/>
          <w:szCs w:val="24"/>
        </w:rPr>
        <w:t xml:space="preserve"> </w:t>
      </w:r>
      <w:r w:rsidR="00A607A8">
        <w:rPr>
          <w:bCs/>
          <w:szCs w:val="24"/>
          <w:lang w:val="en-US"/>
        </w:rPr>
        <w:t>al</w:t>
      </w:r>
      <w:r w:rsidR="00A607A8">
        <w:rPr>
          <w:bCs/>
          <w:szCs w:val="24"/>
        </w:rPr>
        <w:t>.</w:t>
      </w:r>
      <w:r w:rsidR="00A607A8" w:rsidRPr="00A607A8">
        <w:rPr>
          <w:bCs/>
          <w:szCs w:val="24"/>
        </w:rPr>
        <w:t>, 2018).</w:t>
      </w:r>
    </w:p>
    <w:p w:rsidR="00CE6290" w:rsidRPr="007464BD" w:rsidRDefault="00CE6290" w:rsidP="00A83EA4">
      <w:pPr>
        <w:rPr>
          <w:rStyle w:val="tlid-translation"/>
        </w:rPr>
      </w:pPr>
      <w:r>
        <w:rPr>
          <w:bCs/>
          <w:szCs w:val="24"/>
        </w:rPr>
        <w:t xml:space="preserve">Επιπρόσθετα, πέραν της φαρμακευτικής αγωγής που προαναφέρεται, ακολουθείται και η διαδικασία χειρουργικής αντιμετώπισης στις περιπτώσεις εμφάνισης παραμόρφωσης ή </w:t>
      </w:r>
      <w:proofErr w:type="spellStart"/>
      <w:r>
        <w:rPr>
          <w:bCs/>
          <w:szCs w:val="24"/>
        </w:rPr>
        <w:t>σπαστικότητας</w:t>
      </w:r>
      <w:proofErr w:type="spellEnd"/>
      <w:r>
        <w:rPr>
          <w:bCs/>
          <w:szCs w:val="24"/>
        </w:rPr>
        <w:t xml:space="preserve">. Συχνά η </w:t>
      </w:r>
      <w:proofErr w:type="spellStart"/>
      <w:r>
        <w:rPr>
          <w:bCs/>
          <w:szCs w:val="24"/>
        </w:rPr>
        <w:t>φυσικοθεραπευτική</w:t>
      </w:r>
      <w:proofErr w:type="spellEnd"/>
      <w:r>
        <w:rPr>
          <w:bCs/>
          <w:szCs w:val="24"/>
        </w:rPr>
        <w:t xml:space="preserve"> αντιμετώπιση δύναται να προλάβει τα προβλήματα που δημιουργεί η πολλαπλή σκλήρυνση στους ασθενείς ακολουθούνται και χειρουργικές επεμβάσεις όπως στην περίπτωση της πτώσης του άκρου </w:t>
      </w:r>
      <w:proofErr w:type="spellStart"/>
      <w:r>
        <w:rPr>
          <w:bCs/>
          <w:szCs w:val="24"/>
        </w:rPr>
        <w:t>ποδός</w:t>
      </w:r>
      <w:proofErr w:type="spellEnd"/>
      <w:r>
        <w:rPr>
          <w:bCs/>
          <w:szCs w:val="24"/>
        </w:rPr>
        <w:t xml:space="preserve"> που προέρχεται από έντονη πελματιαία κάμψη (</w:t>
      </w:r>
      <w:proofErr w:type="spellStart"/>
      <w:r>
        <w:rPr>
          <w:bCs/>
          <w:szCs w:val="24"/>
        </w:rPr>
        <w:t>τενοντοτομή</w:t>
      </w:r>
      <w:proofErr w:type="spellEnd"/>
      <w:r>
        <w:rPr>
          <w:bCs/>
          <w:szCs w:val="24"/>
        </w:rPr>
        <w:t xml:space="preserve"> στον αχί</w:t>
      </w:r>
      <w:r w:rsidR="007464BD">
        <w:rPr>
          <w:bCs/>
          <w:szCs w:val="24"/>
        </w:rPr>
        <w:t>λ</w:t>
      </w:r>
      <w:r>
        <w:rPr>
          <w:bCs/>
          <w:szCs w:val="24"/>
        </w:rPr>
        <w:t>λειο τένοντα)</w:t>
      </w:r>
      <w:r w:rsidR="007464BD">
        <w:rPr>
          <w:bCs/>
          <w:szCs w:val="24"/>
        </w:rPr>
        <w:t xml:space="preserve"> με στόχο την διατομή του αχίλλειου τένοντα (</w:t>
      </w:r>
      <w:r w:rsidR="007464BD">
        <w:rPr>
          <w:bCs/>
          <w:szCs w:val="24"/>
          <w:lang w:val="en-US"/>
        </w:rPr>
        <w:t>Osborn</w:t>
      </w:r>
      <w:r w:rsidR="007464BD" w:rsidRPr="007464BD">
        <w:rPr>
          <w:bCs/>
          <w:szCs w:val="24"/>
        </w:rPr>
        <w:t xml:space="preserve"> 2012).</w:t>
      </w:r>
    </w:p>
    <w:p w:rsidR="00A607A8" w:rsidRPr="00A607A8" w:rsidRDefault="00A607A8" w:rsidP="00A83EA4">
      <w:pPr>
        <w:rPr>
          <w:bCs/>
          <w:szCs w:val="24"/>
        </w:rPr>
      </w:pPr>
    </w:p>
    <w:p w:rsidR="0038716D" w:rsidRPr="0038716D" w:rsidRDefault="0038716D" w:rsidP="00A83EA4">
      <w:pPr>
        <w:rPr>
          <w:lang w:eastAsia="el-GR"/>
        </w:rPr>
      </w:pPr>
    </w:p>
    <w:p w:rsidR="000D17E8" w:rsidRDefault="000D17E8" w:rsidP="00A50CA8">
      <w:pPr>
        <w:pStyle w:val="1"/>
        <w:rPr>
          <w:rFonts w:eastAsia="Calibri"/>
          <w:b w:val="0"/>
          <w:bCs w:val="0"/>
          <w:kern w:val="0"/>
          <w:sz w:val="24"/>
          <w:szCs w:val="22"/>
          <w:lang w:eastAsia="el-GR"/>
        </w:rPr>
      </w:pPr>
    </w:p>
    <w:p w:rsidR="005013FA" w:rsidRPr="00A50CA8" w:rsidRDefault="00253066" w:rsidP="00A50CA8">
      <w:pPr>
        <w:pStyle w:val="1"/>
        <w:rPr>
          <w:lang w:eastAsia="el-GR"/>
        </w:rPr>
      </w:pPr>
      <w:r>
        <w:rPr>
          <w:lang w:eastAsia="el-GR"/>
        </w:rPr>
        <w:br w:type="page"/>
      </w:r>
      <w:bookmarkStart w:id="39" w:name="_Toc57241641"/>
      <w:r w:rsidR="00A50CA8" w:rsidRPr="00A50CA8">
        <w:rPr>
          <w:lang w:eastAsia="el-GR"/>
        </w:rPr>
        <w:lastRenderedPageBreak/>
        <w:t>ΚΕΦΑΛΑΙΟ 3</w:t>
      </w:r>
      <w:r w:rsidR="0079604F">
        <w:rPr>
          <w:vertAlign w:val="superscript"/>
          <w:lang w:eastAsia="el-GR"/>
        </w:rPr>
        <w:t>ο</w:t>
      </w:r>
      <w:r w:rsidR="00A50CA8" w:rsidRPr="00A50CA8">
        <w:rPr>
          <w:lang w:eastAsia="el-GR"/>
        </w:rPr>
        <w:t xml:space="preserve">: </w:t>
      </w:r>
      <w:r w:rsidR="005013FA" w:rsidRPr="00A50CA8">
        <w:rPr>
          <w:lang w:eastAsia="el-GR"/>
        </w:rPr>
        <w:t xml:space="preserve">ΝΟΣΟΣ </w:t>
      </w:r>
      <w:r w:rsidR="005013FA" w:rsidRPr="00A50CA8">
        <w:rPr>
          <w:lang w:val="en-US" w:eastAsia="el-GR"/>
        </w:rPr>
        <w:t>DEVIC</w:t>
      </w:r>
      <w:bookmarkEnd w:id="39"/>
    </w:p>
    <w:p w:rsidR="00FC5538" w:rsidRDefault="00A50CA8" w:rsidP="00A50CA8">
      <w:pPr>
        <w:pStyle w:val="2"/>
        <w:rPr>
          <w:rFonts w:eastAsia="ArialMT"/>
          <w:lang w:eastAsia="el-GR"/>
        </w:rPr>
      </w:pPr>
      <w:bookmarkStart w:id="40" w:name="_Toc57241642"/>
      <w:r w:rsidRPr="00A50CA8">
        <w:rPr>
          <w:rFonts w:eastAsia="Arial-BoldMT"/>
          <w:lang w:eastAsia="el-GR"/>
        </w:rPr>
        <w:t xml:space="preserve">3.1 </w:t>
      </w:r>
      <w:r w:rsidR="00253066">
        <w:rPr>
          <w:rFonts w:eastAsia="ArialMT"/>
          <w:lang w:eastAsia="el-GR"/>
        </w:rPr>
        <w:t>Ι</w:t>
      </w:r>
      <w:r w:rsidR="00FC5538" w:rsidRPr="00A50CA8">
        <w:rPr>
          <w:rFonts w:eastAsia="ArialMT"/>
          <w:lang w:eastAsia="el-GR"/>
        </w:rPr>
        <w:t>στορική διαδρομή νόσου</w:t>
      </w:r>
      <w:bookmarkEnd w:id="40"/>
    </w:p>
    <w:p w:rsidR="00253066" w:rsidRPr="0006521B" w:rsidRDefault="00253066" w:rsidP="00253066">
      <w:pPr>
        <w:rPr>
          <w:szCs w:val="24"/>
          <w:lang w:eastAsia="el-GR"/>
        </w:rPr>
      </w:pPr>
      <w:r w:rsidRPr="0006521B">
        <w:rPr>
          <w:szCs w:val="24"/>
          <w:lang w:eastAsia="el-GR"/>
        </w:rPr>
        <w:t xml:space="preserve">Η σχέση μεταξύ οξείας μυελίτιδας και της διαταραχής των οπτικών νεύρων αναφέρθηκε το 1870 για πρώτη φορά από τον </w:t>
      </w:r>
      <w:r w:rsidRPr="0006521B">
        <w:rPr>
          <w:szCs w:val="24"/>
          <w:lang w:val="en-US" w:eastAsia="el-GR"/>
        </w:rPr>
        <w:t>Albutt</w:t>
      </w:r>
      <w:r w:rsidRPr="0006521B">
        <w:rPr>
          <w:color w:val="0000FF"/>
          <w:szCs w:val="24"/>
          <w:lang w:eastAsia="el-GR"/>
        </w:rPr>
        <w:t xml:space="preserve"> </w:t>
      </w:r>
      <w:r>
        <w:rPr>
          <w:color w:val="0000FF"/>
          <w:szCs w:val="24"/>
          <w:lang w:eastAsia="el-GR"/>
        </w:rPr>
        <w:t>(</w:t>
      </w:r>
      <w:r w:rsidRPr="00253066">
        <w:rPr>
          <w:bCs/>
        </w:rPr>
        <w:t>1870</w:t>
      </w:r>
      <w:r>
        <w:rPr>
          <w:bCs/>
        </w:rPr>
        <w:t>).</w:t>
      </w:r>
      <w:r w:rsidRPr="0006521B">
        <w:rPr>
          <w:color w:val="0000FF"/>
          <w:szCs w:val="24"/>
          <w:lang w:eastAsia="el-GR"/>
        </w:rPr>
        <w:t xml:space="preserve"> </w:t>
      </w:r>
      <w:r w:rsidRPr="0006521B">
        <w:rPr>
          <w:szCs w:val="24"/>
          <w:lang w:eastAsia="el-GR"/>
        </w:rPr>
        <w:t xml:space="preserve">Εννέα χρόνια αργότερα, ο </w:t>
      </w:r>
      <w:r w:rsidRPr="0006521B">
        <w:rPr>
          <w:szCs w:val="24"/>
          <w:lang w:val="en-US" w:eastAsia="el-GR"/>
        </w:rPr>
        <w:t>Erb</w:t>
      </w:r>
      <w:r w:rsidR="003A61F0">
        <w:rPr>
          <w:szCs w:val="24"/>
          <w:lang w:eastAsia="el-GR"/>
        </w:rPr>
        <w:t xml:space="preserve"> (1879-1880),</w:t>
      </w:r>
      <w:r w:rsidRPr="0006521B">
        <w:rPr>
          <w:color w:val="0000FF"/>
          <w:szCs w:val="24"/>
          <w:lang w:eastAsia="el-GR"/>
        </w:rPr>
        <w:t xml:space="preserve"> </w:t>
      </w:r>
      <w:r w:rsidRPr="0006521B">
        <w:rPr>
          <w:szCs w:val="24"/>
          <w:lang w:eastAsia="el-GR"/>
        </w:rPr>
        <w:t xml:space="preserve">ανέφερε έναν άνδρα 52 ετών που εμφάνιζε υποτροπιάζουσα οπτική νευρίτιδα και 3 μήνες αργότερα, επήλθε και η μυελίτιδα. Ο ασθενής τελικά ανάρρωσε πλήρως από τη μυελίτιδα και πρακτικά υπήρξε και πλήρης ανάκτηση της οπτικής του λειτουργίας. Το 1880, ο </w:t>
      </w:r>
      <w:r w:rsidRPr="0006521B">
        <w:rPr>
          <w:szCs w:val="24"/>
          <w:lang w:val="en-US" w:eastAsia="el-GR"/>
        </w:rPr>
        <w:t>Seguin</w:t>
      </w:r>
      <w:r w:rsidR="003A61F0">
        <w:rPr>
          <w:szCs w:val="24"/>
          <w:lang w:eastAsia="el-GR"/>
        </w:rPr>
        <w:t xml:space="preserve"> (1880),</w:t>
      </w:r>
      <w:r w:rsidRPr="0006521B">
        <w:rPr>
          <w:szCs w:val="24"/>
          <w:lang w:eastAsia="el-GR"/>
        </w:rPr>
        <w:t xml:space="preserve"> ήταν ο πρώτος συγγραφέας που ανέφερε μια παρόμοια υπόθεση στην Αμερική. Άλλες παρόμοιες περιπτώσεις με την προαναφερθείσα, σημειώθηκαν επίσης το 1880 από τους </w:t>
      </w:r>
      <w:r w:rsidRPr="0006521B">
        <w:rPr>
          <w:szCs w:val="24"/>
          <w:lang w:val="en-US" w:eastAsia="el-GR"/>
        </w:rPr>
        <w:t>Steffan</w:t>
      </w:r>
      <w:r w:rsidR="003A61F0">
        <w:rPr>
          <w:szCs w:val="24"/>
          <w:lang w:eastAsia="el-GR"/>
        </w:rPr>
        <w:t xml:space="preserve"> (1879)</w:t>
      </w:r>
      <w:r w:rsidRPr="0006521B">
        <w:rPr>
          <w:szCs w:val="24"/>
          <w:lang w:eastAsia="el-GR"/>
        </w:rPr>
        <w:t xml:space="preserve"> και </w:t>
      </w:r>
      <w:r w:rsidRPr="0006521B">
        <w:rPr>
          <w:szCs w:val="24"/>
          <w:lang w:val="en-US" w:eastAsia="el-GR"/>
        </w:rPr>
        <w:t>Noyes</w:t>
      </w:r>
      <w:r w:rsidR="003A61F0">
        <w:rPr>
          <w:szCs w:val="24"/>
          <w:lang w:eastAsia="el-GR"/>
        </w:rPr>
        <w:t xml:space="preserve"> (1881)</w:t>
      </w:r>
      <w:r w:rsidRPr="0006521B">
        <w:rPr>
          <w:color w:val="0000FF"/>
          <w:szCs w:val="24"/>
          <w:lang w:eastAsia="el-GR"/>
        </w:rPr>
        <w:t xml:space="preserve">. </w:t>
      </w:r>
      <w:r w:rsidRPr="0006521B">
        <w:rPr>
          <w:szCs w:val="24"/>
          <w:lang w:eastAsia="el-GR"/>
        </w:rPr>
        <w:t xml:space="preserve">Το 1882, η </w:t>
      </w:r>
      <w:r w:rsidRPr="0006521B">
        <w:rPr>
          <w:szCs w:val="24"/>
          <w:lang w:val="en-US" w:eastAsia="el-GR"/>
        </w:rPr>
        <w:t>Chisholm</w:t>
      </w:r>
      <w:r w:rsidRPr="0006521B">
        <w:rPr>
          <w:color w:val="0000FF"/>
          <w:szCs w:val="24"/>
          <w:lang w:eastAsia="el-GR"/>
        </w:rPr>
        <w:t xml:space="preserve"> </w:t>
      </w:r>
      <w:r w:rsidR="003A61F0" w:rsidRPr="003A61F0">
        <w:rPr>
          <w:szCs w:val="24"/>
          <w:lang w:eastAsia="el-GR"/>
        </w:rPr>
        <w:t>(1882),</w:t>
      </w:r>
      <w:r w:rsidRPr="003A61F0">
        <w:rPr>
          <w:szCs w:val="24"/>
          <w:lang w:eastAsia="el-GR"/>
        </w:rPr>
        <w:t xml:space="preserve"> κατέγραψε</w:t>
      </w:r>
      <w:r w:rsidRPr="0006521B">
        <w:rPr>
          <w:szCs w:val="24"/>
          <w:lang w:eastAsia="el-GR"/>
        </w:rPr>
        <w:t xml:space="preserve"> μια υπόθεση που κατέληξε σε θάνατο 12 ημέρες μετά την αναγνώριση της σοβαρότητας της νόσου. Την ίδια χρονιά, Ο </w:t>
      </w:r>
      <w:r w:rsidRPr="0006521B">
        <w:rPr>
          <w:szCs w:val="24"/>
          <w:lang w:val="en-US" w:eastAsia="el-GR"/>
        </w:rPr>
        <w:t>Dreschfeld</w:t>
      </w:r>
      <w:r w:rsidRPr="0006521B">
        <w:rPr>
          <w:szCs w:val="24"/>
          <w:lang w:eastAsia="el-GR"/>
        </w:rPr>
        <w:t xml:space="preserve"> </w:t>
      </w:r>
      <w:r w:rsidR="003A61F0">
        <w:rPr>
          <w:szCs w:val="24"/>
          <w:lang w:eastAsia="el-GR"/>
        </w:rPr>
        <w:t>(1882)</w:t>
      </w:r>
      <w:r w:rsidRPr="0006521B">
        <w:rPr>
          <w:color w:val="0000FF"/>
          <w:szCs w:val="24"/>
          <w:lang w:eastAsia="el-GR"/>
        </w:rPr>
        <w:t xml:space="preserve"> </w:t>
      </w:r>
      <w:r w:rsidRPr="0006521B">
        <w:rPr>
          <w:szCs w:val="24"/>
          <w:lang w:eastAsia="el-GR"/>
        </w:rPr>
        <w:t>απέδειξε για πρώτη φορά μέσα από μια υπόθεση αυτοψίας, την εμφάνιση φλεγμονωδών διηθήσεων στα οπτικά νεύρα και τον νωτιαίο μυελό, αλλά δεν υπήρχαν ανωμαλίες στον εγκέφαλο. Σε αυτό το σημείο αναγνώρισε τις θεωρίες των</w:t>
      </w:r>
      <w:r w:rsidRPr="0006521B">
        <w:rPr>
          <w:color w:val="0000FF"/>
          <w:szCs w:val="24"/>
          <w:lang w:eastAsia="el-GR"/>
        </w:rPr>
        <w:t xml:space="preserve"> </w:t>
      </w:r>
      <w:r w:rsidRPr="003A61F0">
        <w:rPr>
          <w:szCs w:val="24"/>
          <w:lang w:val="en-US" w:eastAsia="el-GR"/>
        </w:rPr>
        <w:t>Gowers</w:t>
      </w:r>
      <w:r w:rsidRPr="0006521B">
        <w:rPr>
          <w:color w:val="0000FF"/>
          <w:szCs w:val="24"/>
          <w:lang w:eastAsia="el-GR"/>
        </w:rPr>
        <w:t xml:space="preserve"> </w:t>
      </w:r>
      <w:r w:rsidRPr="0006521B">
        <w:rPr>
          <w:szCs w:val="24"/>
          <w:lang w:eastAsia="el-GR"/>
        </w:rPr>
        <w:t xml:space="preserve">που </w:t>
      </w:r>
      <w:proofErr w:type="spellStart"/>
      <w:r w:rsidRPr="0006521B">
        <w:rPr>
          <w:szCs w:val="24"/>
          <w:lang w:eastAsia="el-GR"/>
        </w:rPr>
        <w:t>προείπαν</w:t>
      </w:r>
      <w:proofErr w:type="spellEnd"/>
      <w:r w:rsidRPr="0006521B">
        <w:rPr>
          <w:szCs w:val="24"/>
          <w:lang w:eastAsia="el-GR"/>
        </w:rPr>
        <w:t xml:space="preserve"> πως σε αυτήν την περίπτωση η οπτική νευρίτιδα και η μυελίτιδα ήταν και τα δύο αποτέλεσμα μιας κοινής αιτίας.</w:t>
      </w:r>
    </w:p>
    <w:p w:rsidR="00253066" w:rsidRPr="0006521B" w:rsidRDefault="003A61F0" w:rsidP="00253066">
      <w:pPr>
        <w:rPr>
          <w:szCs w:val="24"/>
          <w:lang w:eastAsia="el-GR"/>
        </w:rPr>
      </w:pPr>
      <w:r>
        <w:rPr>
          <w:szCs w:val="24"/>
          <w:lang w:eastAsia="el-GR"/>
        </w:rPr>
        <w:t>Το 189</w:t>
      </w:r>
      <w:r w:rsidR="00253066" w:rsidRPr="0006521B">
        <w:rPr>
          <w:szCs w:val="24"/>
          <w:lang w:eastAsia="el-GR"/>
        </w:rPr>
        <w:t xml:space="preserve">4, ο </w:t>
      </w:r>
      <w:r w:rsidR="00253066" w:rsidRPr="0006521B">
        <w:rPr>
          <w:szCs w:val="24"/>
          <w:lang w:val="en-US" w:eastAsia="el-GR"/>
        </w:rPr>
        <w:t>Eug</w:t>
      </w:r>
      <w:r w:rsidR="00253066" w:rsidRPr="0006521B">
        <w:rPr>
          <w:szCs w:val="24"/>
          <w:lang w:eastAsia="el-GR"/>
        </w:rPr>
        <w:t>è</w:t>
      </w:r>
      <w:r w:rsidR="00253066" w:rsidRPr="0006521B">
        <w:rPr>
          <w:szCs w:val="24"/>
          <w:lang w:val="en-US" w:eastAsia="el-GR"/>
        </w:rPr>
        <w:t>ne</w:t>
      </w:r>
      <w:r w:rsidR="00253066" w:rsidRPr="0006521B">
        <w:rPr>
          <w:szCs w:val="24"/>
          <w:lang w:eastAsia="el-GR"/>
        </w:rPr>
        <w:t xml:space="preserve"> </w:t>
      </w:r>
      <w:r w:rsidR="00253066" w:rsidRPr="0006521B">
        <w:rPr>
          <w:szCs w:val="24"/>
          <w:lang w:val="en-US" w:eastAsia="el-GR"/>
        </w:rPr>
        <w:t>Devic</w:t>
      </w:r>
      <w:r w:rsidR="00253066" w:rsidRPr="0006521B">
        <w:rPr>
          <w:color w:val="0000FF"/>
          <w:szCs w:val="24"/>
          <w:lang w:eastAsia="el-GR"/>
        </w:rPr>
        <w:t xml:space="preserve"> </w:t>
      </w:r>
      <w:r w:rsidR="00253066" w:rsidRPr="0006521B">
        <w:rPr>
          <w:szCs w:val="24"/>
          <w:lang w:eastAsia="el-GR"/>
        </w:rPr>
        <w:t>ανέφερε την περίπτωση μιας 45χρονης γυναίκας Γαλλίδας που εμφανίστηκε στο Νοσοκομείο “</w:t>
      </w:r>
      <w:r w:rsidR="00253066" w:rsidRPr="0006521B">
        <w:rPr>
          <w:szCs w:val="24"/>
          <w:lang w:val="en-US" w:eastAsia="el-GR"/>
        </w:rPr>
        <w:t>H</w:t>
      </w:r>
      <w:r w:rsidR="00253066" w:rsidRPr="0006521B">
        <w:rPr>
          <w:szCs w:val="24"/>
          <w:lang w:eastAsia="el-GR"/>
        </w:rPr>
        <w:t>ô</w:t>
      </w:r>
      <w:r w:rsidR="00253066" w:rsidRPr="0006521B">
        <w:rPr>
          <w:szCs w:val="24"/>
          <w:lang w:val="en-US" w:eastAsia="el-GR"/>
        </w:rPr>
        <w:t>tel</w:t>
      </w:r>
      <w:r w:rsidR="00253066" w:rsidRPr="0006521B">
        <w:rPr>
          <w:szCs w:val="24"/>
          <w:lang w:eastAsia="el-GR"/>
        </w:rPr>
        <w:t>-</w:t>
      </w:r>
      <w:r w:rsidR="00253066" w:rsidRPr="0006521B">
        <w:rPr>
          <w:szCs w:val="24"/>
          <w:lang w:val="en-US" w:eastAsia="el-GR"/>
        </w:rPr>
        <w:t>Dieu</w:t>
      </w:r>
      <w:r w:rsidR="00253066" w:rsidRPr="0006521B">
        <w:rPr>
          <w:szCs w:val="24"/>
          <w:lang w:eastAsia="el-GR"/>
        </w:rPr>
        <w:t xml:space="preserve">” της Λυών με εμφανή συμπτώματα δυσάρεστης κεφαλαλγίας και κατάθλιψης καθώς και αισθήματα γενικής κόπωσης και εξάντλησης. Ένα μήνα αργότερα ανέπτυξε σοβαρή κατακράτηση ούρων, πλήρη παραπληγία και τύφλωση και πέθανε λίγες εβδομάδες αργότερα. Η αυτοψία αποκάλυψε σοβαρές </w:t>
      </w:r>
      <w:proofErr w:type="spellStart"/>
      <w:r w:rsidR="00253066" w:rsidRPr="0006521B">
        <w:rPr>
          <w:szCs w:val="24"/>
          <w:lang w:eastAsia="el-GR"/>
        </w:rPr>
        <w:t>απομυελινωτικές</w:t>
      </w:r>
      <w:proofErr w:type="spellEnd"/>
      <w:r w:rsidR="00253066" w:rsidRPr="0006521B">
        <w:rPr>
          <w:szCs w:val="24"/>
          <w:lang w:eastAsia="el-GR"/>
        </w:rPr>
        <w:t xml:space="preserve"> και νεκρωτικές βλάβες που εκτείνονταν για 4-5 εκατοστά σε μήκος του κάτω θωρακικού και οσφυϊκού νωτιαίου μυελού. Οι βλάβες αφορούσαν τόσο τη λευκή όσο και την φαιά ουσία και συσχετίστηκαν με κυτταρικά διηθήματα και πάχυνση των τοιχωμάτων των αγγείων. Υπήρξε </w:t>
      </w:r>
      <w:proofErr w:type="spellStart"/>
      <w:r w:rsidR="00253066" w:rsidRPr="0006521B">
        <w:rPr>
          <w:szCs w:val="24"/>
          <w:lang w:eastAsia="el-GR"/>
        </w:rPr>
        <w:t>απομυελίνωση</w:t>
      </w:r>
      <w:proofErr w:type="spellEnd"/>
      <w:r w:rsidR="00253066" w:rsidRPr="0006521B">
        <w:rPr>
          <w:szCs w:val="24"/>
          <w:lang w:eastAsia="el-GR"/>
        </w:rPr>
        <w:t xml:space="preserve"> στα οπτικά νεύρα αλλά η εξέταση του εγκεφάλου δεν έδειξε ευρήματα. Ο </w:t>
      </w:r>
      <w:r w:rsidR="00253066" w:rsidRPr="0006521B">
        <w:rPr>
          <w:szCs w:val="24"/>
          <w:lang w:val="en-US" w:eastAsia="el-GR"/>
        </w:rPr>
        <w:t>Devic</w:t>
      </w:r>
      <w:r w:rsidR="00253066" w:rsidRPr="0006521B">
        <w:rPr>
          <w:color w:val="0000FF"/>
          <w:szCs w:val="24"/>
          <w:lang w:eastAsia="el-GR"/>
        </w:rPr>
        <w:t xml:space="preserve"> </w:t>
      </w:r>
      <w:r w:rsidR="00253066" w:rsidRPr="0006521B">
        <w:rPr>
          <w:szCs w:val="24"/>
          <w:lang w:eastAsia="el-GR"/>
        </w:rPr>
        <w:t xml:space="preserve">παρουσίασε την υπόθεση στο «Πρώτο Συνέδριο Εσωτερικής Ιατρικής» στη Λυών όπου και ανέφερε επιπρόσθετα άλλες 16 βιβλιογραφικές περιπτώσεις. Στην εργασία του ο </w:t>
      </w:r>
      <w:r w:rsidR="00253066" w:rsidRPr="0006521B">
        <w:rPr>
          <w:szCs w:val="24"/>
          <w:lang w:val="en-US" w:eastAsia="el-GR"/>
        </w:rPr>
        <w:t>Devic</w:t>
      </w:r>
      <w:r w:rsidR="00253066" w:rsidRPr="0006521B">
        <w:rPr>
          <w:szCs w:val="24"/>
          <w:lang w:eastAsia="el-GR"/>
        </w:rPr>
        <w:t xml:space="preserve"> πρότεινε το να υπάρξει μια ξεχωριστή ονομασία της παθολογικής κατάστασης όπου συμπεριλαμβάνονται βλάβες στα δύο σημεία του νωτιαίου μυελού και των οπτικών νεύρων και συγκεκριμένα να ονομάζονται ως σύνδρομο «</w:t>
      </w:r>
      <w:r w:rsidR="00253066" w:rsidRPr="0006521B">
        <w:rPr>
          <w:szCs w:val="24"/>
          <w:lang w:val="en-US" w:eastAsia="el-GR"/>
        </w:rPr>
        <w:t>Neuro</w:t>
      </w:r>
      <w:r w:rsidR="00253066" w:rsidRPr="0006521B">
        <w:rPr>
          <w:szCs w:val="24"/>
          <w:lang w:eastAsia="el-GR"/>
        </w:rPr>
        <w:t>-</w:t>
      </w:r>
      <w:r w:rsidR="00253066" w:rsidRPr="0006521B">
        <w:rPr>
          <w:szCs w:val="24"/>
          <w:lang w:val="en-US" w:eastAsia="el-GR"/>
        </w:rPr>
        <w:t>my</w:t>
      </w:r>
      <w:r w:rsidR="00253066" w:rsidRPr="0006521B">
        <w:rPr>
          <w:szCs w:val="24"/>
          <w:lang w:eastAsia="el-GR"/>
        </w:rPr>
        <w:t>é</w:t>
      </w:r>
      <w:r w:rsidR="00253066" w:rsidRPr="0006521B">
        <w:rPr>
          <w:szCs w:val="24"/>
          <w:lang w:val="en-US" w:eastAsia="el-GR"/>
        </w:rPr>
        <w:t>lite</w:t>
      </w:r>
      <w:r w:rsidR="00253066" w:rsidRPr="0006521B">
        <w:rPr>
          <w:szCs w:val="24"/>
          <w:lang w:eastAsia="el-GR"/>
        </w:rPr>
        <w:t xml:space="preserve"> </w:t>
      </w:r>
      <w:r w:rsidR="00253066" w:rsidRPr="0006521B">
        <w:rPr>
          <w:szCs w:val="24"/>
          <w:lang w:val="en-US" w:eastAsia="el-GR"/>
        </w:rPr>
        <w:t>optique</w:t>
      </w:r>
      <w:r w:rsidR="00253066" w:rsidRPr="0006521B">
        <w:rPr>
          <w:szCs w:val="24"/>
          <w:lang w:eastAsia="el-GR"/>
        </w:rPr>
        <w:t>» ή «</w:t>
      </w:r>
      <w:r w:rsidR="00253066" w:rsidRPr="0006521B">
        <w:rPr>
          <w:szCs w:val="24"/>
          <w:lang w:val="en-US" w:eastAsia="el-GR"/>
        </w:rPr>
        <w:t>neuroptico</w:t>
      </w:r>
      <w:r w:rsidR="00253066" w:rsidRPr="0006521B">
        <w:rPr>
          <w:szCs w:val="24"/>
          <w:lang w:eastAsia="el-GR"/>
        </w:rPr>
        <w:t>-</w:t>
      </w:r>
      <w:r w:rsidR="00253066" w:rsidRPr="0006521B">
        <w:rPr>
          <w:szCs w:val="24"/>
          <w:lang w:val="en-US" w:eastAsia="el-GR"/>
        </w:rPr>
        <w:t>my</w:t>
      </w:r>
      <w:r w:rsidR="00253066" w:rsidRPr="0006521B">
        <w:rPr>
          <w:szCs w:val="24"/>
          <w:lang w:eastAsia="el-GR"/>
        </w:rPr>
        <w:t>é</w:t>
      </w:r>
      <w:r w:rsidR="00253066" w:rsidRPr="0006521B">
        <w:rPr>
          <w:szCs w:val="24"/>
          <w:lang w:val="en-US" w:eastAsia="el-GR"/>
        </w:rPr>
        <w:t>lite</w:t>
      </w:r>
      <w:r w:rsidR="00253066" w:rsidRPr="0006521B">
        <w:rPr>
          <w:szCs w:val="24"/>
          <w:lang w:eastAsia="el-GR"/>
        </w:rPr>
        <w:t>», δηλαδή οπτική νευρομυελίτιδα και επιπρόσθετα αναφέρθηκε στη σχέση αυτής με την πολλαπλή σκλήρυνση.</w:t>
      </w:r>
    </w:p>
    <w:p w:rsidR="00253066" w:rsidRPr="0006521B" w:rsidRDefault="00253066" w:rsidP="00253066">
      <w:pPr>
        <w:rPr>
          <w:szCs w:val="24"/>
          <w:lang w:eastAsia="el-GR"/>
        </w:rPr>
      </w:pPr>
      <w:r w:rsidRPr="0006521B">
        <w:rPr>
          <w:szCs w:val="24"/>
          <w:lang w:eastAsia="el-GR"/>
        </w:rPr>
        <w:lastRenderedPageBreak/>
        <w:t xml:space="preserve">Ο </w:t>
      </w:r>
      <w:r w:rsidRPr="0006521B">
        <w:rPr>
          <w:szCs w:val="24"/>
          <w:lang w:val="en-US" w:eastAsia="el-GR"/>
        </w:rPr>
        <w:t>Fernand</w:t>
      </w:r>
      <w:r w:rsidRPr="0006521B">
        <w:rPr>
          <w:szCs w:val="24"/>
          <w:lang w:eastAsia="el-GR"/>
        </w:rPr>
        <w:t xml:space="preserve"> </w:t>
      </w:r>
      <w:r w:rsidRPr="0006521B">
        <w:rPr>
          <w:szCs w:val="24"/>
          <w:lang w:val="en-US" w:eastAsia="el-GR"/>
        </w:rPr>
        <w:t>Gault</w:t>
      </w:r>
      <w:r w:rsidR="00025A05">
        <w:rPr>
          <w:szCs w:val="24"/>
          <w:lang w:eastAsia="el-GR"/>
        </w:rPr>
        <w:t xml:space="preserve"> (1894)</w:t>
      </w:r>
      <w:r w:rsidRPr="0006521B">
        <w:rPr>
          <w:color w:val="0000FF"/>
          <w:szCs w:val="24"/>
          <w:lang w:eastAsia="el-GR"/>
        </w:rPr>
        <w:t xml:space="preserve"> </w:t>
      </w:r>
      <w:r w:rsidRPr="0006521B">
        <w:rPr>
          <w:szCs w:val="24"/>
          <w:lang w:eastAsia="el-GR"/>
        </w:rPr>
        <w:t xml:space="preserve">που ήταν μαθητής των </w:t>
      </w:r>
      <w:r w:rsidRPr="0006521B">
        <w:rPr>
          <w:szCs w:val="24"/>
          <w:lang w:val="en-US" w:eastAsia="el-GR"/>
        </w:rPr>
        <w:t>Devic</w:t>
      </w:r>
      <w:r w:rsidRPr="0006521B">
        <w:rPr>
          <w:szCs w:val="24"/>
          <w:lang w:eastAsia="el-GR"/>
        </w:rPr>
        <w:t>, εξέτασε με λεπτομερή ανάλυση και τις 17 περιπτώσεις εντός της διδακτορικής του διατριβής η οποία είχε την ονομασία "</w:t>
      </w:r>
      <w:r w:rsidRPr="0006521B">
        <w:rPr>
          <w:szCs w:val="24"/>
          <w:lang w:val="en-US" w:eastAsia="el-GR"/>
        </w:rPr>
        <w:t>De</w:t>
      </w:r>
      <w:r w:rsidRPr="0006521B">
        <w:rPr>
          <w:szCs w:val="24"/>
          <w:lang w:eastAsia="el-GR"/>
        </w:rPr>
        <w:t xml:space="preserve"> </w:t>
      </w:r>
      <w:r w:rsidRPr="0006521B">
        <w:rPr>
          <w:szCs w:val="24"/>
          <w:lang w:val="en-US" w:eastAsia="el-GR"/>
        </w:rPr>
        <w:t>la</w:t>
      </w:r>
      <w:r w:rsidRPr="0006521B">
        <w:rPr>
          <w:szCs w:val="24"/>
          <w:lang w:eastAsia="el-GR"/>
        </w:rPr>
        <w:t xml:space="preserve"> </w:t>
      </w:r>
      <w:r w:rsidRPr="0006521B">
        <w:rPr>
          <w:szCs w:val="24"/>
          <w:lang w:val="en-US" w:eastAsia="el-GR"/>
        </w:rPr>
        <w:t>neuromy</w:t>
      </w:r>
      <w:r w:rsidRPr="0006521B">
        <w:rPr>
          <w:szCs w:val="24"/>
          <w:lang w:eastAsia="el-GR"/>
        </w:rPr>
        <w:t>é</w:t>
      </w:r>
      <w:r w:rsidRPr="0006521B">
        <w:rPr>
          <w:szCs w:val="24"/>
          <w:lang w:val="en-US" w:eastAsia="el-GR"/>
        </w:rPr>
        <w:t>lite</w:t>
      </w:r>
      <w:r w:rsidRPr="0006521B">
        <w:rPr>
          <w:szCs w:val="24"/>
          <w:lang w:eastAsia="el-GR"/>
        </w:rPr>
        <w:t xml:space="preserve"> </w:t>
      </w:r>
      <w:r w:rsidRPr="0006521B">
        <w:rPr>
          <w:szCs w:val="24"/>
          <w:lang w:val="en-US" w:eastAsia="el-GR"/>
        </w:rPr>
        <w:t>optique</w:t>
      </w:r>
      <w:r w:rsidRPr="0006521B">
        <w:rPr>
          <w:szCs w:val="24"/>
          <w:lang w:eastAsia="el-GR"/>
        </w:rPr>
        <w:t xml:space="preserve"> </w:t>
      </w:r>
      <w:r w:rsidRPr="0006521B">
        <w:rPr>
          <w:szCs w:val="24"/>
          <w:lang w:val="en-US" w:eastAsia="el-GR"/>
        </w:rPr>
        <w:t>aigu</w:t>
      </w:r>
      <w:r w:rsidRPr="0006521B">
        <w:rPr>
          <w:szCs w:val="24"/>
          <w:lang w:eastAsia="el-GR"/>
        </w:rPr>
        <w:t xml:space="preserve">é" προτείνοντας την αντιπροσώπευση μιας ξεχωριστής νοσολογικής οντότητας. Η πρόταση για την ονομασία «Νόσος </w:t>
      </w:r>
      <w:r w:rsidRPr="0006521B">
        <w:rPr>
          <w:szCs w:val="24"/>
          <w:lang w:val="en-US" w:eastAsia="el-GR"/>
        </w:rPr>
        <w:t>Devic</w:t>
      </w:r>
      <w:r w:rsidRPr="0006521B">
        <w:rPr>
          <w:szCs w:val="24"/>
          <w:lang w:eastAsia="el-GR"/>
        </w:rPr>
        <w:t xml:space="preserve">» έγινε το 1907 από την </w:t>
      </w:r>
      <w:r w:rsidRPr="0006521B">
        <w:rPr>
          <w:szCs w:val="24"/>
          <w:lang w:val="en-US" w:eastAsia="el-GR"/>
        </w:rPr>
        <w:t>Acchiote</w:t>
      </w:r>
      <w:r w:rsidR="00025A05">
        <w:rPr>
          <w:szCs w:val="24"/>
          <w:lang w:eastAsia="el-GR"/>
        </w:rPr>
        <w:t xml:space="preserve"> (1907)</w:t>
      </w:r>
      <w:r w:rsidRPr="0006521B">
        <w:rPr>
          <w:color w:val="0000FF"/>
          <w:szCs w:val="24"/>
          <w:lang w:eastAsia="el-GR"/>
        </w:rPr>
        <w:t>.</w:t>
      </w:r>
    </w:p>
    <w:p w:rsidR="00253066" w:rsidRPr="0006521B" w:rsidRDefault="00253066" w:rsidP="00253066">
      <w:pPr>
        <w:rPr>
          <w:szCs w:val="24"/>
          <w:lang w:eastAsia="el-GR"/>
        </w:rPr>
      </w:pPr>
      <w:r w:rsidRPr="0006521B">
        <w:rPr>
          <w:szCs w:val="24"/>
          <w:lang w:eastAsia="el-GR"/>
        </w:rPr>
        <w:t xml:space="preserve">Ο </w:t>
      </w:r>
      <w:r w:rsidRPr="0006521B">
        <w:rPr>
          <w:szCs w:val="24"/>
          <w:lang w:val="en-US" w:eastAsia="el-GR"/>
        </w:rPr>
        <w:t>Goulden</w:t>
      </w:r>
      <w:r w:rsidRPr="0006521B">
        <w:rPr>
          <w:szCs w:val="24"/>
          <w:lang w:eastAsia="el-GR"/>
        </w:rPr>
        <w:t>, το 1914</w:t>
      </w:r>
      <w:r w:rsidRPr="0006521B">
        <w:rPr>
          <w:color w:val="0000FF"/>
          <w:szCs w:val="24"/>
          <w:lang w:eastAsia="el-GR"/>
        </w:rPr>
        <w:t xml:space="preserve"> </w:t>
      </w:r>
      <w:r w:rsidRPr="0006521B">
        <w:rPr>
          <w:szCs w:val="24"/>
          <w:lang w:eastAsia="el-GR"/>
        </w:rPr>
        <w:t xml:space="preserve">εξέτασε 51 βιβλιογραφικές περιπτώσεις οι οποίες πληρούσαν τα προαναφερθέντα διαγνωστικά κριτήρια όπως αυτά προτάθηκαν από τον </w:t>
      </w:r>
      <w:r w:rsidRPr="0006521B">
        <w:rPr>
          <w:szCs w:val="24"/>
          <w:lang w:val="en-US" w:eastAsia="el-GR"/>
        </w:rPr>
        <w:t>Devic</w:t>
      </w:r>
      <w:r w:rsidRPr="0006521B">
        <w:rPr>
          <w:szCs w:val="24"/>
          <w:lang w:eastAsia="el-GR"/>
        </w:rPr>
        <w:t xml:space="preserve"> προσθέτοντας και μια δική του περίπτωση. Το 1927, ο </w:t>
      </w:r>
      <w:r w:rsidRPr="0006521B">
        <w:rPr>
          <w:szCs w:val="24"/>
          <w:lang w:val="en-US" w:eastAsia="el-GR"/>
        </w:rPr>
        <w:t>Beck</w:t>
      </w:r>
      <w:r w:rsidRPr="0006521B">
        <w:rPr>
          <w:color w:val="0000FF"/>
          <w:szCs w:val="24"/>
          <w:lang w:eastAsia="el-GR"/>
        </w:rPr>
        <w:t xml:space="preserve"> </w:t>
      </w:r>
      <w:r w:rsidRPr="0006521B">
        <w:rPr>
          <w:szCs w:val="24"/>
          <w:lang w:eastAsia="el-GR"/>
        </w:rPr>
        <w:t xml:space="preserve">εξέτασε 71 περιπτώσεις και περιέγραψε μια αραίωση των οπτικών νεύρων και του νωτιαίου μυελού, </w:t>
      </w:r>
      <w:proofErr w:type="spellStart"/>
      <w:r w:rsidRPr="0006521B">
        <w:rPr>
          <w:szCs w:val="24"/>
          <w:lang w:eastAsia="el-GR"/>
        </w:rPr>
        <w:t>πολυμορφοπυρηνικά</w:t>
      </w:r>
      <w:proofErr w:type="spellEnd"/>
      <w:r w:rsidRPr="0006521B">
        <w:rPr>
          <w:szCs w:val="24"/>
          <w:lang w:eastAsia="el-GR"/>
        </w:rPr>
        <w:t xml:space="preserve"> διηθήματα, εκτεταμένη </w:t>
      </w:r>
      <w:proofErr w:type="spellStart"/>
      <w:r w:rsidRPr="0006521B">
        <w:rPr>
          <w:szCs w:val="24"/>
          <w:lang w:eastAsia="el-GR"/>
        </w:rPr>
        <w:t>απομυελίνωση</w:t>
      </w:r>
      <w:proofErr w:type="spellEnd"/>
      <w:r w:rsidRPr="0006521B">
        <w:rPr>
          <w:szCs w:val="24"/>
          <w:lang w:eastAsia="el-GR"/>
        </w:rPr>
        <w:t xml:space="preserve"> και νέκρωση τα οποία εκτείνονταν σε πολλά τμήματα του νωτιαίου μυελού. Τόνισε ότι αυτά τα παθολογικά ευρήματα που αποτελούσα ανωμαλίες ήταν διαφορετικές από αυτές που βρέθηκαν στις περιπτώσεις της σκλήρυνσης κατά πλάκας.</w:t>
      </w:r>
    </w:p>
    <w:p w:rsidR="00253066" w:rsidRPr="0006521B" w:rsidRDefault="00253066" w:rsidP="00253066">
      <w:pPr>
        <w:rPr>
          <w:szCs w:val="24"/>
          <w:lang w:eastAsia="el-GR"/>
        </w:rPr>
      </w:pPr>
      <w:r w:rsidRPr="0006521B">
        <w:rPr>
          <w:szCs w:val="24"/>
          <w:lang w:eastAsia="el-GR"/>
        </w:rPr>
        <w:t xml:space="preserve">Το 1937 και άλλοι συγγραφείς όπως οι </w:t>
      </w:r>
      <w:r w:rsidRPr="0006521B">
        <w:rPr>
          <w:szCs w:val="24"/>
          <w:lang w:val="en-US" w:eastAsia="el-GR"/>
        </w:rPr>
        <w:t>Hassin</w:t>
      </w:r>
      <w:r w:rsidRPr="0006521B">
        <w:rPr>
          <w:color w:val="0000FF"/>
          <w:szCs w:val="24"/>
          <w:lang w:eastAsia="el-GR"/>
        </w:rPr>
        <w:t xml:space="preserve"> </w:t>
      </w:r>
      <w:r w:rsidRPr="0006521B">
        <w:rPr>
          <w:szCs w:val="24"/>
          <w:lang w:eastAsia="el-GR"/>
        </w:rPr>
        <w:t xml:space="preserve">και </w:t>
      </w:r>
      <w:r w:rsidRPr="0006521B">
        <w:rPr>
          <w:szCs w:val="24"/>
          <w:lang w:val="en-US" w:eastAsia="el-GR"/>
        </w:rPr>
        <w:t>Lowenberg</w:t>
      </w:r>
      <w:r w:rsidRPr="0006521B">
        <w:rPr>
          <w:szCs w:val="24"/>
          <w:lang w:eastAsia="el-GR"/>
        </w:rPr>
        <w:t xml:space="preserve"> </w:t>
      </w:r>
      <w:r w:rsidRPr="0006521B">
        <w:rPr>
          <w:szCs w:val="24"/>
          <w:lang w:val="en-US" w:eastAsia="el-GR"/>
        </w:rPr>
        <w:t>et</w:t>
      </w:r>
      <w:r w:rsidRPr="0006521B">
        <w:rPr>
          <w:szCs w:val="24"/>
          <w:lang w:eastAsia="el-GR"/>
        </w:rPr>
        <w:t xml:space="preserve"> </w:t>
      </w:r>
      <w:r w:rsidRPr="0006521B">
        <w:rPr>
          <w:szCs w:val="24"/>
          <w:lang w:val="en-US" w:eastAsia="el-GR"/>
        </w:rPr>
        <w:t>al</w:t>
      </w:r>
      <w:r w:rsidRPr="006A7992">
        <w:rPr>
          <w:szCs w:val="24"/>
          <w:lang w:eastAsia="el-GR"/>
        </w:rPr>
        <w:t>.</w:t>
      </w:r>
      <w:r w:rsidR="00025A05" w:rsidRPr="006A7992">
        <w:rPr>
          <w:szCs w:val="24"/>
          <w:lang w:eastAsia="el-GR"/>
        </w:rPr>
        <w:t xml:space="preserve"> (1947)</w:t>
      </w:r>
      <w:r w:rsidRPr="0006521B">
        <w:rPr>
          <w:color w:val="0000FF"/>
          <w:szCs w:val="24"/>
          <w:lang w:eastAsia="el-GR"/>
        </w:rPr>
        <w:t xml:space="preserve"> </w:t>
      </w:r>
      <w:r w:rsidRPr="0006521B">
        <w:rPr>
          <w:szCs w:val="24"/>
          <w:lang w:eastAsia="el-GR"/>
        </w:rPr>
        <w:t xml:space="preserve">περιέγραψαν την εμπλοκή τόσο της λευκής όσο και της φαιάς ουσίας στον νωτιαίο μυελό με έντονα φλεγμονώδη διηθήματα και απουσία </w:t>
      </w:r>
      <w:proofErr w:type="spellStart"/>
      <w:r w:rsidRPr="0006521B">
        <w:rPr>
          <w:szCs w:val="24"/>
          <w:lang w:eastAsia="el-GR"/>
        </w:rPr>
        <w:t>γλοίωσης</w:t>
      </w:r>
      <w:proofErr w:type="spellEnd"/>
      <w:r w:rsidRPr="0006521B">
        <w:rPr>
          <w:szCs w:val="24"/>
          <w:lang w:eastAsia="el-GR"/>
        </w:rPr>
        <w:t>.</w:t>
      </w:r>
      <w:r w:rsidRPr="0006521B">
        <w:rPr>
          <w:color w:val="0000FF"/>
          <w:szCs w:val="24"/>
          <w:lang w:eastAsia="el-GR"/>
        </w:rPr>
        <w:t xml:space="preserve"> </w:t>
      </w:r>
      <w:r w:rsidRPr="0006521B">
        <w:rPr>
          <w:szCs w:val="24"/>
          <w:lang w:eastAsia="el-GR"/>
        </w:rPr>
        <w:t xml:space="preserve">Ο </w:t>
      </w:r>
      <w:r w:rsidRPr="0006521B">
        <w:rPr>
          <w:szCs w:val="24"/>
          <w:lang w:val="en-US" w:eastAsia="el-GR"/>
        </w:rPr>
        <w:t>Stansbury</w:t>
      </w:r>
      <w:r w:rsidR="00025A05">
        <w:rPr>
          <w:color w:val="0000FF"/>
          <w:szCs w:val="24"/>
          <w:lang w:eastAsia="el-GR"/>
        </w:rPr>
        <w:t xml:space="preserve"> </w:t>
      </w:r>
      <w:r w:rsidRPr="0006521B">
        <w:rPr>
          <w:szCs w:val="24"/>
          <w:lang w:eastAsia="el-GR"/>
        </w:rPr>
        <w:t xml:space="preserve">το 1949, με βάση την επανεξέταση σε πάνω από 200 περιπτώσεις και την ανάλυση 20 υποθέσεων που υποβλήθηκαν σε αυτοψία, κατέληξε σε ορισμένα συμπεράσματα. Αυτά είναι τα εξής: </w:t>
      </w:r>
    </w:p>
    <w:p w:rsidR="00253066" w:rsidRPr="0006521B" w:rsidRDefault="00253066" w:rsidP="00253066">
      <w:pPr>
        <w:numPr>
          <w:ilvl w:val="0"/>
          <w:numId w:val="5"/>
        </w:numPr>
        <w:ind w:left="0" w:firstLine="720"/>
        <w:rPr>
          <w:szCs w:val="24"/>
          <w:lang w:eastAsia="el-GR"/>
        </w:rPr>
      </w:pPr>
      <w:r w:rsidRPr="0006521B">
        <w:rPr>
          <w:szCs w:val="24"/>
          <w:lang w:eastAsia="el-GR"/>
        </w:rPr>
        <w:t xml:space="preserve">Η οπτική νευρομυελίτιδα εμφανίζεται σε οποιαδήποτε ηλικία, αλλά είναι συχνότερη σε άτομα ηλικίας μεταξύ 30 και 50 ετών. </w:t>
      </w:r>
    </w:p>
    <w:p w:rsidR="00253066" w:rsidRPr="0006521B" w:rsidRDefault="00253066" w:rsidP="00253066">
      <w:pPr>
        <w:numPr>
          <w:ilvl w:val="0"/>
          <w:numId w:val="5"/>
        </w:numPr>
        <w:ind w:left="0" w:firstLine="720"/>
        <w:rPr>
          <w:szCs w:val="24"/>
          <w:lang w:eastAsia="el-GR"/>
        </w:rPr>
      </w:pPr>
      <w:r w:rsidRPr="0006521B">
        <w:rPr>
          <w:szCs w:val="24"/>
          <w:lang w:eastAsia="el-GR"/>
        </w:rPr>
        <w:t>Η αρχική αναπηρία κατανέμεται εξίσου μεταξύ του οπτικού νεύρου και του νωτιαίου μυελού.</w:t>
      </w:r>
    </w:p>
    <w:p w:rsidR="00253066" w:rsidRPr="0006521B" w:rsidRDefault="00253066" w:rsidP="00253066">
      <w:pPr>
        <w:numPr>
          <w:ilvl w:val="0"/>
          <w:numId w:val="5"/>
        </w:numPr>
        <w:ind w:left="0" w:firstLine="720"/>
        <w:rPr>
          <w:szCs w:val="24"/>
          <w:lang w:eastAsia="el-GR"/>
        </w:rPr>
      </w:pPr>
      <w:r w:rsidRPr="0006521B">
        <w:rPr>
          <w:szCs w:val="24"/>
          <w:lang w:eastAsia="el-GR"/>
        </w:rPr>
        <w:t>Η απώλεια της όρασης είναι ένα χαρακτηριστικό της νόσου και δύναται να συμβεί ακόμα και μόνο στο ένα μάτι.</w:t>
      </w:r>
    </w:p>
    <w:p w:rsidR="00253066" w:rsidRPr="0006521B" w:rsidRDefault="00253066" w:rsidP="00253066">
      <w:pPr>
        <w:numPr>
          <w:ilvl w:val="0"/>
          <w:numId w:val="5"/>
        </w:numPr>
        <w:ind w:left="0" w:firstLine="720"/>
        <w:rPr>
          <w:szCs w:val="24"/>
          <w:lang w:eastAsia="el-GR"/>
        </w:rPr>
      </w:pPr>
      <w:r w:rsidRPr="0006521B">
        <w:rPr>
          <w:szCs w:val="24"/>
          <w:lang w:eastAsia="el-GR"/>
        </w:rPr>
        <w:t>Ο ίδιος διατύπωσε πως η έκβαση της νόσου συνήθως είναι εξαιρετικά κακή και αυτό λόγω του ότι οι ασθενείς πέθαναν κατά βάση λίγους μήνες μετά την έναρξη της νόσου.</w:t>
      </w:r>
      <w:r w:rsidRPr="0006521B">
        <w:rPr>
          <w:color w:val="0000FF"/>
          <w:szCs w:val="24"/>
          <w:lang w:eastAsia="el-GR"/>
        </w:rPr>
        <w:t xml:space="preserve"> </w:t>
      </w:r>
    </w:p>
    <w:p w:rsidR="00253066" w:rsidRPr="0006521B" w:rsidRDefault="00253066" w:rsidP="00253066">
      <w:pPr>
        <w:numPr>
          <w:ilvl w:val="0"/>
          <w:numId w:val="5"/>
        </w:numPr>
        <w:ind w:left="0" w:firstLine="720"/>
        <w:rPr>
          <w:szCs w:val="24"/>
          <w:lang w:eastAsia="el-GR"/>
        </w:rPr>
      </w:pPr>
      <w:r w:rsidRPr="0006521B">
        <w:rPr>
          <w:szCs w:val="24"/>
          <w:lang w:eastAsia="el-GR"/>
        </w:rPr>
        <w:t xml:space="preserve">Επιπλέον παρατήρησε πως οι βλάβες προχώρησαν μέσα από μια σειρά διαφορετικών σταδίων. Αρχικά υπάρχουν εμφανή </w:t>
      </w:r>
      <w:proofErr w:type="spellStart"/>
      <w:r w:rsidRPr="0006521B">
        <w:rPr>
          <w:szCs w:val="24"/>
          <w:lang w:eastAsia="el-GR"/>
        </w:rPr>
        <w:t>περιαγγειακά</w:t>
      </w:r>
      <w:proofErr w:type="spellEnd"/>
      <w:r w:rsidRPr="0006521B">
        <w:rPr>
          <w:szCs w:val="24"/>
          <w:lang w:eastAsia="el-GR"/>
        </w:rPr>
        <w:t xml:space="preserve"> διηθήματα πολυμορφοπύρηνων κυττάρων, λευκοκυττάρων και κύτταρα πλάσματος. Στη συνέχεια, εμφανίζονται περιφερικές εστίες </w:t>
      </w:r>
      <w:proofErr w:type="spellStart"/>
      <w:r w:rsidRPr="0006521B">
        <w:rPr>
          <w:szCs w:val="24"/>
          <w:lang w:eastAsia="el-GR"/>
        </w:rPr>
        <w:t>απομυελίνωσης</w:t>
      </w:r>
      <w:proofErr w:type="spellEnd"/>
      <w:r w:rsidRPr="0006521B">
        <w:rPr>
          <w:szCs w:val="24"/>
          <w:lang w:eastAsia="el-GR"/>
        </w:rPr>
        <w:t xml:space="preserve"> και η νέκρωση ακολούθως συνενώνεται σε μεγαλύτερες αλλοιώσεις με αξονική βλάβη. Η φαιά ουσία του νωτιαίου μυελού μπορεί να επηρεάζεται ξεχωριστά ή μπορεί να εμπλέκεται με επέκταση των παρακείμενων αλλοιώσεων λευκής ύλης. Οι νεκρωτικές περιοχές παρατηρούνται συνηθέστερα στον νωτιαίο μυελό και </w:t>
      </w:r>
      <w:r w:rsidRPr="0006521B">
        <w:rPr>
          <w:szCs w:val="24"/>
          <w:lang w:eastAsia="el-GR"/>
        </w:rPr>
        <w:lastRenderedPageBreak/>
        <w:t xml:space="preserve">λιγότερο συχνά στα οπτικά νεύρα. Τέλος, σχηματίζονται </w:t>
      </w:r>
      <w:proofErr w:type="spellStart"/>
      <w:r w:rsidRPr="0006521B">
        <w:rPr>
          <w:szCs w:val="24"/>
          <w:lang w:eastAsia="el-GR"/>
        </w:rPr>
        <w:t>γλοιακές</w:t>
      </w:r>
      <w:proofErr w:type="spellEnd"/>
      <w:r w:rsidRPr="0006521B">
        <w:rPr>
          <w:szCs w:val="24"/>
          <w:lang w:eastAsia="el-GR"/>
        </w:rPr>
        <w:t xml:space="preserve"> ουλές αν και οι ουλές αυτές είναι λιγότερο συχνές και συνήθως είναι μερικές σε αντίθεση με τις τυπικές αλλοιώσεις που εμφανίζονται στην πολλαπλή σκλήρυνση. </w:t>
      </w:r>
    </w:p>
    <w:p w:rsidR="00253066" w:rsidRPr="0006521B" w:rsidRDefault="00253066" w:rsidP="00253066">
      <w:pPr>
        <w:rPr>
          <w:szCs w:val="24"/>
          <w:lang w:eastAsia="el-GR"/>
        </w:rPr>
      </w:pPr>
      <w:r w:rsidRPr="0006521B">
        <w:rPr>
          <w:szCs w:val="24"/>
          <w:lang w:eastAsia="el-GR"/>
        </w:rPr>
        <w:t xml:space="preserve">Το 1952, ο </w:t>
      </w:r>
      <w:r w:rsidRPr="0006521B">
        <w:rPr>
          <w:szCs w:val="24"/>
          <w:lang w:val="en-US" w:eastAsia="el-GR"/>
        </w:rPr>
        <w:t>Scott</w:t>
      </w:r>
      <w:r w:rsidRPr="0006521B">
        <w:rPr>
          <w:szCs w:val="24"/>
          <w:lang w:eastAsia="el-GR"/>
        </w:rPr>
        <w:t xml:space="preserve"> αναφερόμενος στις έρευνες του </w:t>
      </w:r>
      <w:r w:rsidRPr="0006521B">
        <w:rPr>
          <w:szCs w:val="24"/>
          <w:lang w:val="en-US" w:eastAsia="el-GR"/>
        </w:rPr>
        <w:t>Stanbury</w:t>
      </w:r>
      <w:r w:rsidRPr="0006521B">
        <w:rPr>
          <w:szCs w:val="24"/>
          <w:lang w:eastAsia="el-GR"/>
        </w:rPr>
        <w:t xml:space="preserve"> και επανεξετάζοντας αυτές, διαφώνησε ως προς το συμπέρασμά αναφορικά με την κακή έκβαση της νόσου και το ότι αυτή είναι αναπόφευκτη, τονίζοντας το γεγονός πως υπήρξαν και περιπτώσεις που εμφάνισαν ανάκαμψη και καλή πορεία. Περίγραψε περιπτώσεις όπου υπήρξε απώλεια όρασης η οποία σχετιζόταν με ελάχιστη δυσλειτουργία του νωτιαίου μυελού και ακόμη και με την εμφάνιση «</w:t>
      </w:r>
      <w:proofErr w:type="spellStart"/>
      <w:r w:rsidRPr="0006521B">
        <w:rPr>
          <w:szCs w:val="24"/>
          <w:lang w:eastAsia="el-GR"/>
        </w:rPr>
        <w:t>αποβολικών</w:t>
      </w:r>
      <w:proofErr w:type="spellEnd"/>
      <w:r w:rsidRPr="0006521B">
        <w:rPr>
          <w:szCs w:val="24"/>
          <w:lang w:eastAsia="el-GR"/>
        </w:rPr>
        <w:t xml:space="preserve"> τύπων» με διοφθαλμική απώλεια όρασης που δεν ακολουθήθηκε από παραπληγία. Σε παρόμοιες παρατηρήσεις είχε αναφερθεί στο παρελθόν και ο </w:t>
      </w:r>
      <w:r w:rsidRPr="00074DD7">
        <w:rPr>
          <w:szCs w:val="24"/>
          <w:lang w:val="en-US" w:eastAsia="el-GR"/>
        </w:rPr>
        <w:t>Walsh</w:t>
      </w:r>
      <w:r w:rsidR="00074DD7" w:rsidRPr="00074DD7">
        <w:rPr>
          <w:szCs w:val="24"/>
          <w:lang w:eastAsia="el-GR"/>
        </w:rPr>
        <w:t xml:space="preserve"> (1935).</w:t>
      </w:r>
      <w:r w:rsidR="00074DD7">
        <w:rPr>
          <w:color w:val="0000FF"/>
          <w:szCs w:val="24"/>
          <w:lang w:eastAsia="el-GR"/>
        </w:rPr>
        <w:t xml:space="preserve"> </w:t>
      </w:r>
      <w:r w:rsidRPr="0006521B">
        <w:rPr>
          <w:szCs w:val="24"/>
          <w:lang w:eastAsia="el-GR"/>
        </w:rPr>
        <w:t xml:space="preserve">Περισσότερες από 300 περιπτώσεις της νόσου του </w:t>
      </w:r>
      <w:r w:rsidRPr="0006521B">
        <w:rPr>
          <w:szCs w:val="24"/>
          <w:lang w:val="en-US" w:eastAsia="el-GR"/>
        </w:rPr>
        <w:t>Devic</w:t>
      </w:r>
      <w:r w:rsidRPr="0006521B">
        <w:rPr>
          <w:szCs w:val="24"/>
          <w:lang w:eastAsia="el-GR"/>
        </w:rPr>
        <w:t xml:space="preserve"> εμφανίστηκαν έως το 1958 στη παγκόσμια βιβλιογραφία οπότε φάνηκε πως η κατάσταση αυτή ήταν πιο συχνή από ό, τι υπήρχε η πεποίθηση κατά τα προηγούμενα χρόνια</w:t>
      </w:r>
      <w:r w:rsidRPr="0006521B">
        <w:rPr>
          <w:color w:val="0000FF"/>
          <w:szCs w:val="24"/>
          <w:lang w:eastAsia="el-GR"/>
        </w:rPr>
        <w:t>.</w:t>
      </w:r>
    </w:p>
    <w:p w:rsidR="00253066" w:rsidRPr="0006521B" w:rsidRDefault="00253066" w:rsidP="00253066">
      <w:pPr>
        <w:rPr>
          <w:szCs w:val="24"/>
          <w:lang w:eastAsia="el-GR"/>
        </w:rPr>
      </w:pPr>
      <w:r w:rsidRPr="0006521B">
        <w:rPr>
          <w:szCs w:val="24"/>
          <w:lang w:eastAsia="el-GR"/>
        </w:rPr>
        <w:t xml:space="preserve">Ο </w:t>
      </w:r>
      <w:r w:rsidRPr="0006521B">
        <w:rPr>
          <w:szCs w:val="24"/>
          <w:lang w:val="en-US" w:eastAsia="el-GR"/>
        </w:rPr>
        <w:t>Aluizio</w:t>
      </w:r>
      <w:r w:rsidRPr="0006521B">
        <w:rPr>
          <w:szCs w:val="24"/>
          <w:lang w:eastAsia="el-GR"/>
        </w:rPr>
        <w:t xml:space="preserve"> ήταν ο πρώτος που αναφέρθηκε σε περίπτωση οπτικής νευρομυελίτιδας στη Λατινική Αμερική και το 1943 ο </w:t>
      </w:r>
      <w:r w:rsidRPr="0006521B">
        <w:rPr>
          <w:szCs w:val="24"/>
          <w:lang w:val="en-US" w:eastAsia="el-GR"/>
        </w:rPr>
        <w:t>Marques</w:t>
      </w:r>
      <w:r w:rsidRPr="0006521B">
        <w:rPr>
          <w:color w:val="0000FF"/>
          <w:szCs w:val="24"/>
          <w:lang w:eastAsia="el-GR"/>
        </w:rPr>
        <w:t xml:space="preserve"> </w:t>
      </w:r>
      <w:r w:rsidRPr="0006521B">
        <w:rPr>
          <w:szCs w:val="24"/>
          <w:lang w:eastAsia="el-GR"/>
        </w:rPr>
        <w:t xml:space="preserve">περιέγραψε δύο περιπτώσεις στην περιοχή του Ρίο ντε </w:t>
      </w:r>
      <w:proofErr w:type="spellStart"/>
      <w:r w:rsidRPr="0006521B">
        <w:rPr>
          <w:szCs w:val="24"/>
          <w:lang w:eastAsia="el-GR"/>
        </w:rPr>
        <w:t>Τζανέιρο</w:t>
      </w:r>
      <w:proofErr w:type="spellEnd"/>
      <w:r w:rsidRPr="0006521B">
        <w:rPr>
          <w:szCs w:val="24"/>
          <w:lang w:eastAsia="el-GR"/>
        </w:rPr>
        <w:t xml:space="preserve">. Η πρώτη περίπτωση αφορούσε μια ασθενή 21 ετών η οποία ανέπτυξε ταυτόχρονη αμφίπλευρη τύφλωση και παραπληγία κατά τη διάρκεια </w:t>
      </w:r>
      <w:proofErr w:type="spellStart"/>
      <w:r w:rsidRPr="0006521B">
        <w:rPr>
          <w:szCs w:val="24"/>
          <w:lang w:eastAsia="el-GR"/>
        </w:rPr>
        <w:t>παρωτίτιδας</w:t>
      </w:r>
      <w:proofErr w:type="spellEnd"/>
      <w:r w:rsidRPr="0006521B">
        <w:rPr>
          <w:szCs w:val="24"/>
          <w:lang w:eastAsia="el-GR"/>
        </w:rPr>
        <w:t>. Η εξέταση του εγκεφαλονωτιαίου υγρού αποκάλυψε 17 κύτταρα / mm3. Κατά την κλινική εξέταση που διεξάγει 3 μήνες αργότερα αποκάλυψε μερική ανάκαμψη της όρασης και πλήρη αποκατάσταση του κινητικής και αισθητηριακής λειτουργίας. Η δεύτερη περίπτωση αναφέρεται σε μια γυναίκα 45 ετών που παρουσίασε οξεία εγκάρσια μυελίτιδα, ακολουθούμενη έπειτα από ένα μήνα από διμερή οπτική νευρίτιδα. Η εξέταση εννέα μήνες μετά την έναρξη της νόσου δεν έδειξε σημάδια ανάρρωση.</w:t>
      </w:r>
    </w:p>
    <w:p w:rsidR="00253066" w:rsidRPr="0006521B" w:rsidRDefault="00253066" w:rsidP="00253066">
      <w:pPr>
        <w:rPr>
          <w:szCs w:val="24"/>
          <w:lang w:eastAsia="el-GR"/>
        </w:rPr>
      </w:pPr>
      <w:r w:rsidRPr="0006521B">
        <w:rPr>
          <w:szCs w:val="24"/>
          <w:lang w:eastAsia="el-GR"/>
        </w:rPr>
        <w:t xml:space="preserve">Οι </w:t>
      </w:r>
      <w:proofErr w:type="spellStart"/>
      <w:r w:rsidRPr="0006521B">
        <w:rPr>
          <w:szCs w:val="24"/>
          <w:lang w:eastAsia="el-GR"/>
        </w:rPr>
        <w:t>Gault</w:t>
      </w:r>
      <w:proofErr w:type="spellEnd"/>
      <w:r w:rsidRPr="0006521B">
        <w:rPr>
          <w:szCs w:val="24"/>
          <w:lang w:eastAsia="el-GR"/>
        </w:rPr>
        <w:t xml:space="preserve"> και </w:t>
      </w:r>
      <w:proofErr w:type="spellStart"/>
      <w:r w:rsidRPr="0006521B">
        <w:rPr>
          <w:szCs w:val="24"/>
          <w:lang w:eastAsia="el-GR"/>
        </w:rPr>
        <w:t>Devic</w:t>
      </w:r>
      <w:proofErr w:type="spellEnd"/>
      <w:r w:rsidR="00074DD7">
        <w:rPr>
          <w:color w:val="0000FF"/>
          <w:szCs w:val="24"/>
          <w:lang w:eastAsia="el-GR"/>
        </w:rPr>
        <w:t xml:space="preserve"> </w:t>
      </w:r>
      <w:r w:rsidRPr="0006521B">
        <w:rPr>
          <w:szCs w:val="24"/>
          <w:lang w:eastAsia="el-GR"/>
        </w:rPr>
        <w:t xml:space="preserve">το 1894, πρότειναν ότι εντός της διάγνωσης χρειάζεται να περιορίζονται μόνο οι περιπτώσεις κατά τις οποίες εμφανίζεται διμερή οπτική νευρίτιδα και οξεία μυελίτιδα ταυτόχρονα ή εάν προκύψουν με μια χρονική καθυστέρηση έως και μερικές εβδομάδες. Επιπρόσθετα, δύναται να εμφανιστούν και άλλα σημάδια της εμπλοκής του ΚΝΣ περιστασιακά. Οι </w:t>
      </w:r>
      <w:proofErr w:type="spellStart"/>
      <w:r w:rsidRPr="0006521B">
        <w:rPr>
          <w:szCs w:val="24"/>
          <w:lang w:eastAsia="el-GR"/>
        </w:rPr>
        <w:t>Shibasaki</w:t>
      </w:r>
      <w:proofErr w:type="spellEnd"/>
      <w:r w:rsidRPr="0006521B">
        <w:rPr>
          <w:szCs w:val="24"/>
          <w:lang w:eastAsia="el-GR"/>
        </w:rPr>
        <w:t xml:space="preserve"> </w:t>
      </w:r>
      <w:proofErr w:type="spellStart"/>
      <w:r w:rsidRPr="0006521B">
        <w:rPr>
          <w:szCs w:val="24"/>
          <w:lang w:eastAsia="el-GR"/>
        </w:rPr>
        <w:t>et</w:t>
      </w:r>
      <w:proofErr w:type="spellEnd"/>
      <w:r w:rsidRPr="0006521B">
        <w:rPr>
          <w:szCs w:val="24"/>
          <w:lang w:eastAsia="el-GR"/>
        </w:rPr>
        <w:t xml:space="preserve"> </w:t>
      </w:r>
      <w:proofErr w:type="spellStart"/>
      <w:r w:rsidRPr="0006521B">
        <w:rPr>
          <w:szCs w:val="24"/>
          <w:lang w:eastAsia="el-GR"/>
        </w:rPr>
        <w:t>al</w:t>
      </w:r>
      <w:proofErr w:type="spellEnd"/>
      <w:r w:rsidRPr="00074DD7">
        <w:rPr>
          <w:szCs w:val="24"/>
          <w:lang w:eastAsia="el-GR"/>
        </w:rPr>
        <w:t xml:space="preserve">. </w:t>
      </w:r>
      <w:r w:rsidR="00074DD7" w:rsidRPr="00074DD7">
        <w:rPr>
          <w:szCs w:val="24"/>
          <w:lang w:eastAsia="el-GR"/>
        </w:rPr>
        <w:t xml:space="preserve">(1981) </w:t>
      </w:r>
      <w:r w:rsidRPr="0006521B">
        <w:rPr>
          <w:szCs w:val="24"/>
          <w:lang w:eastAsia="el-GR"/>
        </w:rPr>
        <w:t xml:space="preserve">σε μια μελέτη τους αναφορικά με τις διαφορές σε περιπτώσεις ΣΚΠ ανάμεσα σε Βρετανούς και Ιάπωνες που θεωρούνταν ότι πάσχουν από τη νόσο του </w:t>
      </w:r>
      <w:proofErr w:type="spellStart"/>
      <w:r w:rsidRPr="0006521B">
        <w:rPr>
          <w:szCs w:val="24"/>
          <w:lang w:eastAsia="el-GR"/>
        </w:rPr>
        <w:t>Devic</w:t>
      </w:r>
      <w:proofErr w:type="spellEnd"/>
      <w:r w:rsidRPr="0006521B">
        <w:rPr>
          <w:szCs w:val="24"/>
          <w:lang w:eastAsia="el-GR"/>
        </w:rPr>
        <w:t>, αναφέρθηκαν σε ασθενείς με οξεία αμφίπλευρη οπτική νευρίτιδα και οξεία μυελίτιδα, που δεν εμφάνιζαν άλλα σημάδια εμπλοκής του νευρικού συστήματος, να εμφανίζουν μονοφασική πορεία και μάλιστα εντός ενός διαστήματος των τεσσάρων εβδομάδων.</w:t>
      </w:r>
    </w:p>
    <w:p w:rsidR="00253066" w:rsidRPr="0006521B" w:rsidRDefault="00074DD7" w:rsidP="00253066">
      <w:pPr>
        <w:rPr>
          <w:szCs w:val="24"/>
          <w:lang w:eastAsia="el-GR"/>
        </w:rPr>
      </w:pPr>
      <w:r>
        <w:rPr>
          <w:szCs w:val="24"/>
          <w:lang w:eastAsia="el-GR"/>
        </w:rPr>
        <w:lastRenderedPageBreak/>
        <w:t>Οι</w:t>
      </w:r>
      <w:r w:rsidR="00253066" w:rsidRPr="0006521B">
        <w:rPr>
          <w:szCs w:val="24"/>
          <w:lang w:eastAsia="el-GR"/>
        </w:rPr>
        <w:t xml:space="preserve"> </w:t>
      </w:r>
      <w:proofErr w:type="spellStart"/>
      <w:r w:rsidR="00253066" w:rsidRPr="0006521B">
        <w:rPr>
          <w:szCs w:val="24"/>
          <w:lang w:eastAsia="el-GR"/>
        </w:rPr>
        <w:t>Mandler</w:t>
      </w:r>
      <w:proofErr w:type="spellEnd"/>
      <w:r w:rsidR="00253066" w:rsidRPr="0006521B">
        <w:rPr>
          <w:szCs w:val="24"/>
          <w:lang w:eastAsia="el-GR"/>
        </w:rPr>
        <w:t xml:space="preserve"> </w:t>
      </w:r>
      <w:proofErr w:type="spellStart"/>
      <w:r w:rsidR="00253066" w:rsidRPr="0006521B">
        <w:rPr>
          <w:szCs w:val="24"/>
          <w:lang w:eastAsia="el-GR"/>
        </w:rPr>
        <w:t>et</w:t>
      </w:r>
      <w:proofErr w:type="spellEnd"/>
      <w:r w:rsidR="00253066" w:rsidRPr="0006521B">
        <w:rPr>
          <w:szCs w:val="24"/>
          <w:lang w:eastAsia="el-GR"/>
        </w:rPr>
        <w:t xml:space="preserve"> </w:t>
      </w:r>
      <w:proofErr w:type="spellStart"/>
      <w:r w:rsidR="00253066" w:rsidRPr="0006521B">
        <w:rPr>
          <w:szCs w:val="24"/>
          <w:lang w:eastAsia="el-GR"/>
        </w:rPr>
        <w:t>al</w:t>
      </w:r>
      <w:proofErr w:type="spellEnd"/>
      <w:r w:rsidR="00253066" w:rsidRPr="0006521B">
        <w:rPr>
          <w:szCs w:val="24"/>
          <w:lang w:eastAsia="el-GR"/>
        </w:rPr>
        <w:t>.</w:t>
      </w:r>
      <w:r w:rsidR="00253066" w:rsidRPr="0006521B">
        <w:rPr>
          <w:color w:val="0000FF"/>
          <w:szCs w:val="24"/>
          <w:lang w:eastAsia="el-GR"/>
        </w:rPr>
        <w:t xml:space="preserve"> </w:t>
      </w:r>
      <w:r>
        <w:rPr>
          <w:szCs w:val="24"/>
          <w:lang w:eastAsia="el-GR"/>
        </w:rPr>
        <w:t>το 1993</w:t>
      </w:r>
      <w:r w:rsidR="00253066" w:rsidRPr="0006521B">
        <w:rPr>
          <w:szCs w:val="24"/>
          <w:lang w:eastAsia="el-GR"/>
        </w:rPr>
        <w:t xml:space="preserve">, πρόσθεσε απεικονίσεις, CSF και παθολογικά χαρακτηριστικά στα κλινικά ευρήματα ως διαγνωστικά κριτήρια. Επιπρόσθετα στην εμφάνιση της οπτικής νευρίτιδας και της μυελίτιδας, τα οποία θα μπορούσαν να είναι </w:t>
      </w:r>
      <w:proofErr w:type="spellStart"/>
      <w:r w:rsidR="00253066" w:rsidRPr="0006521B">
        <w:rPr>
          <w:szCs w:val="24"/>
          <w:lang w:eastAsia="el-GR"/>
        </w:rPr>
        <w:t>συμπτωματικά</w:t>
      </w:r>
      <w:proofErr w:type="spellEnd"/>
      <w:r w:rsidR="00253066" w:rsidRPr="0006521B">
        <w:rPr>
          <w:szCs w:val="24"/>
          <w:lang w:eastAsia="el-GR"/>
        </w:rPr>
        <w:t xml:space="preserve"> ή να διαχωριστούν από ένα διάστημα μηνών έως ετών, οι ασθενείς δεν θα πρέπει να έχουν σημάδια εμπλοκής πέραν των περιοχών του οπτικού νεύρου και νωτιαίου μυελού. Κατά την απεικόνιση σε μαγνητικό τομογράφο (MRI) τα ευρήματα περιλάμβαναν φυσιολογικό εγκέφαλο και παρουσία σημείων </w:t>
      </w:r>
      <w:proofErr w:type="spellStart"/>
      <w:r w:rsidR="00253066" w:rsidRPr="0006521B">
        <w:rPr>
          <w:szCs w:val="24"/>
          <w:lang w:eastAsia="el-GR"/>
        </w:rPr>
        <w:t>σπηλαίωσης</w:t>
      </w:r>
      <w:proofErr w:type="spellEnd"/>
      <w:r w:rsidR="00253066" w:rsidRPr="0006521B">
        <w:rPr>
          <w:szCs w:val="24"/>
          <w:lang w:eastAsia="el-GR"/>
        </w:rPr>
        <w:t xml:space="preserve"> στον νωτιαίο μυελό. Η ανάλυση CSF σε αυτές τις περιπτώσεις, αποκάλυψε μειωμένη αναλογία </w:t>
      </w:r>
      <w:proofErr w:type="spellStart"/>
      <w:r w:rsidR="00253066" w:rsidRPr="0006521B">
        <w:rPr>
          <w:szCs w:val="24"/>
          <w:lang w:eastAsia="el-GR"/>
        </w:rPr>
        <w:t>λευκωματίνης</w:t>
      </w:r>
      <w:proofErr w:type="spellEnd"/>
      <w:r w:rsidR="00253066" w:rsidRPr="0006521B">
        <w:rPr>
          <w:szCs w:val="24"/>
          <w:lang w:eastAsia="el-GR"/>
        </w:rPr>
        <w:t xml:space="preserve"> ορού / CSF, κανονική </w:t>
      </w:r>
      <w:proofErr w:type="spellStart"/>
      <w:r w:rsidR="00253066" w:rsidRPr="0006521B">
        <w:rPr>
          <w:szCs w:val="24"/>
          <w:lang w:eastAsia="el-GR"/>
        </w:rPr>
        <w:t>IgG</w:t>
      </w:r>
      <w:proofErr w:type="spellEnd"/>
      <w:r w:rsidR="00253066" w:rsidRPr="0006521B">
        <w:rPr>
          <w:szCs w:val="24"/>
          <w:lang w:eastAsia="el-GR"/>
        </w:rPr>
        <w:t xml:space="preserve"> σύνθεση και συνήθως απουσία </w:t>
      </w:r>
      <w:proofErr w:type="spellStart"/>
      <w:r w:rsidR="00253066" w:rsidRPr="0006521B">
        <w:rPr>
          <w:szCs w:val="24"/>
          <w:lang w:eastAsia="el-GR"/>
        </w:rPr>
        <w:t>ολιγοκλωνικών</w:t>
      </w:r>
      <w:proofErr w:type="spellEnd"/>
      <w:r w:rsidR="00253066" w:rsidRPr="0006521B">
        <w:rPr>
          <w:szCs w:val="24"/>
          <w:lang w:eastAsia="el-GR"/>
        </w:rPr>
        <w:t xml:space="preserve"> ζωνών. Τα παθολογικά χαρακτηριστικά συμπεριλαμβάνανε νέκρωση και </w:t>
      </w:r>
      <w:proofErr w:type="spellStart"/>
      <w:r w:rsidR="00253066" w:rsidRPr="0006521B">
        <w:rPr>
          <w:szCs w:val="24"/>
          <w:lang w:eastAsia="el-GR"/>
        </w:rPr>
        <w:t>σπηλαίωση</w:t>
      </w:r>
      <w:proofErr w:type="spellEnd"/>
      <w:r w:rsidR="00253066" w:rsidRPr="0006521B">
        <w:rPr>
          <w:szCs w:val="24"/>
          <w:lang w:eastAsia="el-GR"/>
        </w:rPr>
        <w:t xml:space="preserve"> της σπονδυλικής στήλης με παρουσία πενιχρών φλεγμονωδών διηθήσεων. Σε εκείνο το σημείο βρίσκονταν τα σημάδια </w:t>
      </w:r>
      <w:proofErr w:type="spellStart"/>
      <w:r w:rsidR="00253066" w:rsidRPr="0006521B">
        <w:rPr>
          <w:szCs w:val="24"/>
          <w:lang w:eastAsia="el-GR"/>
        </w:rPr>
        <w:t>απομυελίνωσης</w:t>
      </w:r>
      <w:proofErr w:type="spellEnd"/>
      <w:r w:rsidR="00253066" w:rsidRPr="0006521B">
        <w:rPr>
          <w:szCs w:val="24"/>
          <w:lang w:eastAsia="el-GR"/>
        </w:rPr>
        <w:t xml:space="preserve"> των οπτικών νεύρων, ενώ δεν βρέθηκαν βλάβες στον εγκέφαλο και την παρεγκεφαλίδα.</w:t>
      </w:r>
    </w:p>
    <w:p w:rsidR="00253066" w:rsidRPr="0006521B" w:rsidRDefault="00253066" w:rsidP="00253066">
      <w:pPr>
        <w:rPr>
          <w:szCs w:val="24"/>
          <w:lang w:eastAsia="el-GR"/>
        </w:rPr>
      </w:pPr>
      <w:r w:rsidRPr="0006521B">
        <w:rPr>
          <w:szCs w:val="24"/>
          <w:lang w:eastAsia="el-GR"/>
        </w:rPr>
        <w:t xml:space="preserve">Το 1996, οι </w:t>
      </w:r>
      <w:proofErr w:type="spellStart"/>
      <w:r w:rsidRPr="0006521B">
        <w:rPr>
          <w:szCs w:val="24"/>
          <w:lang w:eastAsia="el-GR"/>
        </w:rPr>
        <w:t>O'Riordan</w:t>
      </w:r>
      <w:proofErr w:type="spellEnd"/>
      <w:r w:rsidRPr="0006521B">
        <w:rPr>
          <w:szCs w:val="24"/>
          <w:lang w:eastAsia="el-GR"/>
        </w:rPr>
        <w:t xml:space="preserve"> </w:t>
      </w:r>
      <w:proofErr w:type="spellStart"/>
      <w:r w:rsidRPr="0006521B">
        <w:rPr>
          <w:szCs w:val="24"/>
          <w:lang w:eastAsia="el-GR"/>
        </w:rPr>
        <w:t>et</w:t>
      </w:r>
      <w:proofErr w:type="spellEnd"/>
      <w:r w:rsidRPr="0006521B">
        <w:rPr>
          <w:szCs w:val="24"/>
          <w:lang w:eastAsia="el-GR"/>
        </w:rPr>
        <w:t xml:space="preserve"> </w:t>
      </w:r>
      <w:proofErr w:type="spellStart"/>
      <w:r w:rsidRPr="0006521B">
        <w:rPr>
          <w:szCs w:val="24"/>
          <w:lang w:eastAsia="el-GR"/>
        </w:rPr>
        <w:t>al</w:t>
      </w:r>
      <w:proofErr w:type="spellEnd"/>
      <w:r w:rsidRPr="0006521B">
        <w:rPr>
          <w:szCs w:val="24"/>
          <w:lang w:eastAsia="el-GR"/>
        </w:rPr>
        <w:t>.</w:t>
      </w:r>
      <w:r w:rsidR="00074DD7">
        <w:rPr>
          <w:color w:val="0000FF"/>
          <w:szCs w:val="24"/>
          <w:lang w:eastAsia="el-GR"/>
        </w:rPr>
        <w:t>,</w:t>
      </w:r>
      <w:r w:rsidRPr="0006521B">
        <w:rPr>
          <w:color w:val="0000FF"/>
          <w:szCs w:val="24"/>
          <w:lang w:eastAsia="el-GR"/>
        </w:rPr>
        <w:t xml:space="preserve"> </w:t>
      </w:r>
      <w:r w:rsidRPr="0006521B">
        <w:rPr>
          <w:szCs w:val="24"/>
          <w:lang w:eastAsia="el-GR"/>
        </w:rPr>
        <w:t>ασχολήθηκαν με τα αρχεία των περιπτώσεων ασθενών από το “Εθνικό Νοσοκομείο Νευρολογίας και Νευροχειρουργικής”, το “</w:t>
      </w:r>
      <w:proofErr w:type="spellStart"/>
      <w:r w:rsidRPr="0006521B">
        <w:rPr>
          <w:szCs w:val="24"/>
          <w:lang w:eastAsia="el-GR"/>
        </w:rPr>
        <w:t>Queen</w:t>
      </w:r>
      <w:proofErr w:type="spellEnd"/>
      <w:r w:rsidRPr="0006521B">
        <w:rPr>
          <w:szCs w:val="24"/>
          <w:lang w:eastAsia="el-GR"/>
        </w:rPr>
        <w:t xml:space="preserve"> </w:t>
      </w:r>
      <w:proofErr w:type="spellStart"/>
      <w:r w:rsidRPr="0006521B">
        <w:rPr>
          <w:szCs w:val="24"/>
          <w:lang w:eastAsia="el-GR"/>
        </w:rPr>
        <w:t>Square</w:t>
      </w:r>
      <w:proofErr w:type="spellEnd"/>
      <w:r w:rsidRPr="0006521B">
        <w:rPr>
          <w:szCs w:val="24"/>
          <w:lang w:eastAsia="el-GR"/>
        </w:rPr>
        <w:t>” και το “</w:t>
      </w:r>
      <w:proofErr w:type="spellStart"/>
      <w:r w:rsidRPr="0006521B">
        <w:rPr>
          <w:szCs w:val="24"/>
          <w:lang w:eastAsia="el-GR"/>
        </w:rPr>
        <w:t>Moorfield's</w:t>
      </w:r>
      <w:proofErr w:type="spellEnd"/>
      <w:r w:rsidRPr="0006521B">
        <w:rPr>
          <w:szCs w:val="24"/>
          <w:lang w:eastAsia="el-GR"/>
        </w:rPr>
        <w:t xml:space="preserve"> </w:t>
      </w:r>
      <w:proofErr w:type="spellStart"/>
      <w:r w:rsidRPr="0006521B">
        <w:rPr>
          <w:szCs w:val="24"/>
          <w:lang w:eastAsia="el-GR"/>
        </w:rPr>
        <w:t>Eye</w:t>
      </w:r>
      <w:proofErr w:type="spellEnd"/>
      <w:r w:rsidRPr="0006521B">
        <w:rPr>
          <w:szCs w:val="24"/>
          <w:lang w:eastAsia="el-GR"/>
        </w:rPr>
        <w:t xml:space="preserve"> </w:t>
      </w:r>
      <w:proofErr w:type="spellStart"/>
      <w:r w:rsidRPr="0006521B">
        <w:rPr>
          <w:szCs w:val="24"/>
          <w:lang w:eastAsia="el-GR"/>
        </w:rPr>
        <w:t>Hospital</w:t>
      </w:r>
      <w:proofErr w:type="spellEnd"/>
      <w:r w:rsidRPr="0006521B">
        <w:rPr>
          <w:szCs w:val="24"/>
          <w:lang w:eastAsia="el-GR"/>
        </w:rPr>
        <w:t xml:space="preserve">” που είχαν διακομιστεί από το 1986 έως και το 1994. Η ασθένεια στις περιπτώσεις αυτές είχε χαρακτηριστεί ως οξεία μυελίτιδα που σχετίζονταν με οξεία μονομερή ή διμερή οπτική νευρίτιδα και δεν αναφέρονταν άλλα σημάδια εμπλοκής άλλων περιοχών του εγκεφάλου πέρα από βλάβες που παρατηρήθηκαν στα οπτικά νεύρα. Οι ασθενείς σε κάποιες περιπτώσεις ακολούθησαν μονοφασική πορεία ή σε άλλες περιπτώσεις υπήρξε υποτροπιάζουσα πορεία. Το ενδιαφέρον ήταν πως στις 5 από τις 12 περιπτώσεις υπήρξε πιθανή αιτιολογία. Οι 2 ασθενείς είχαν πιθανή «οξεία διάδοση της </w:t>
      </w:r>
      <w:proofErr w:type="spellStart"/>
      <w:r w:rsidRPr="0006521B">
        <w:rPr>
          <w:szCs w:val="24"/>
          <w:lang w:eastAsia="el-GR"/>
        </w:rPr>
        <w:t>εγκεφαλομυελίτιδας</w:t>
      </w:r>
      <w:proofErr w:type="spellEnd"/>
      <w:r w:rsidRPr="0006521B">
        <w:rPr>
          <w:szCs w:val="24"/>
          <w:lang w:eastAsia="el-GR"/>
        </w:rPr>
        <w:t xml:space="preserve">» δύο εβδομάδες μετά από μη εξακριβωμένη μολυσματική ασθένεια και η μαγνητική τομογραφία έδειξε πρήξιμο και μη φυσιολογικό μέγεθος που εκτείνονταν σε πολλά τμήματα του νωτιαίου μυελού. Ο ένας ασθενής είχε συστηματικό </w:t>
      </w:r>
      <w:proofErr w:type="spellStart"/>
      <w:r w:rsidRPr="0006521B">
        <w:rPr>
          <w:szCs w:val="24"/>
          <w:lang w:eastAsia="el-GR"/>
        </w:rPr>
        <w:t>ερυθηματώδη</w:t>
      </w:r>
      <w:proofErr w:type="spellEnd"/>
      <w:r w:rsidRPr="0006521B">
        <w:rPr>
          <w:szCs w:val="24"/>
          <w:lang w:eastAsia="el-GR"/>
        </w:rPr>
        <w:t xml:space="preserve"> λύκο, ένας άλλος ασθενής είχε ασθένεια του συνδετικού ιστού και η πέμπτη ασθενής έπασχε από φυματίωση. Επιπρόσθετα, 6 ακόμη ασθενείς παρουσίασαν μια ποικιλία </w:t>
      </w:r>
      <w:proofErr w:type="spellStart"/>
      <w:r w:rsidRPr="0006521B">
        <w:rPr>
          <w:szCs w:val="24"/>
          <w:lang w:eastAsia="el-GR"/>
        </w:rPr>
        <w:t>αυτοαντισωμάτων</w:t>
      </w:r>
      <w:proofErr w:type="spellEnd"/>
      <w:r w:rsidRPr="0006521B">
        <w:rPr>
          <w:szCs w:val="24"/>
          <w:lang w:eastAsia="el-GR"/>
        </w:rPr>
        <w:t xml:space="preserve"> αποκαλύπτοντας έναν περαιτέρω ανοσολογικό μηχανισμό για την ασθένεια.</w:t>
      </w:r>
    </w:p>
    <w:p w:rsidR="00253066" w:rsidRPr="0006521B" w:rsidRDefault="00253066" w:rsidP="00253066">
      <w:pPr>
        <w:rPr>
          <w:szCs w:val="24"/>
          <w:lang w:eastAsia="el-GR"/>
        </w:rPr>
      </w:pPr>
      <w:r w:rsidRPr="0006521B">
        <w:rPr>
          <w:szCs w:val="24"/>
          <w:lang w:eastAsia="el-GR"/>
        </w:rPr>
        <w:t xml:space="preserve">Το 1999 ξεκίνησε μια σειρά ερευνών στη κλινική </w:t>
      </w:r>
      <w:proofErr w:type="spellStart"/>
      <w:r w:rsidRPr="0006521B">
        <w:rPr>
          <w:szCs w:val="24"/>
          <w:lang w:eastAsia="el-GR"/>
        </w:rPr>
        <w:t>Mayo</w:t>
      </w:r>
      <w:proofErr w:type="spellEnd"/>
      <w:r w:rsidRPr="0006521B">
        <w:rPr>
          <w:szCs w:val="24"/>
          <w:lang w:eastAsia="el-GR"/>
        </w:rPr>
        <w:t xml:space="preserve"> όπου μέσα από αυτές αποδόθηκε μια σαφώς καλύτερη εικόνα αναφορικά με την οπτική νευρομυελίτιδα αλλάζοντας κατά πολύ την έννοια της ιατρικής αυτής περίπτωσης. Έτσι, διευκρινίστηκαν διάφορα ζητήματα που αφορούν τα κλινικά χαρακτηριστικά της ασθένειας, την παθολογία της, τους ανοσολογικούς μηχανισμούς και την απεικόνιση της </w:t>
      </w:r>
      <w:r w:rsidR="00074DD7">
        <w:rPr>
          <w:szCs w:val="24"/>
          <w:lang w:eastAsia="el-GR"/>
        </w:rPr>
        <w:t>(</w:t>
      </w:r>
      <w:r w:rsidR="00074DD7" w:rsidRPr="00074DD7">
        <w:rPr>
          <w:bCs/>
          <w:lang w:val="en-US"/>
        </w:rPr>
        <w:t>Wingerchuk</w:t>
      </w:r>
      <w:r w:rsidR="00074DD7" w:rsidRPr="00074DD7">
        <w:rPr>
          <w:bCs/>
        </w:rPr>
        <w:t xml:space="preserve">, </w:t>
      </w:r>
      <w:r w:rsidR="00074DD7" w:rsidRPr="00074DD7">
        <w:rPr>
          <w:bCs/>
          <w:lang w:val="en-US"/>
        </w:rPr>
        <w:t>Lennon</w:t>
      </w:r>
      <w:r w:rsidR="00074DD7" w:rsidRPr="00074DD7">
        <w:rPr>
          <w:bCs/>
        </w:rPr>
        <w:t xml:space="preserve">, </w:t>
      </w:r>
      <w:r w:rsidR="00074DD7" w:rsidRPr="00074DD7">
        <w:rPr>
          <w:bCs/>
          <w:lang w:val="en-US"/>
        </w:rPr>
        <w:t>Pittocj</w:t>
      </w:r>
      <w:r w:rsidR="00074DD7" w:rsidRPr="00074DD7">
        <w:rPr>
          <w:bCs/>
        </w:rPr>
        <w:t xml:space="preserve">, </w:t>
      </w:r>
      <w:r w:rsidR="00074DD7" w:rsidRPr="00074DD7">
        <w:rPr>
          <w:bCs/>
          <w:lang w:val="en-US"/>
        </w:rPr>
        <w:t>Lucchinetti</w:t>
      </w:r>
      <w:r w:rsidR="00074DD7">
        <w:rPr>
          <w:bCs/>
        </w:rPr>
        <w:t xml:space="preserve"> &amp; </w:t>
      </w:r>
      <w:r w:rsidR="00074DD7">
        <w:rPr>
          <w:bCs/>
          <w:lang w:val="en-US"/>
        </w:rPr>
        <w:t>Weinshenk</w:t>
      </w:r>
      <w:r w:rsidR="00074DD7" w:rsidRPr="00074DD7">
        <w:rPr>
          <w:bCs/>
          <w:lang w:val="en-US"/>
        </w:rPr>
        <w:t>er</w:t>
      </w:r>
      <w:r w:rsidR="00074DD7">
        <w:rPr>
          <w:bCs/>
        </w:rPr>
        <w:t xml:space="preserve"> (2006).</w:t>
      </w:r>
      <w:r w:rsidRPr="0006521B">
        <w:rPr>
          <w:color w:val="0000FF"/>
          <w:szCs w:val="24"/>
          <w:lang w:eastAsia="el-GR"/>
        </w:rPr>
        <w:t xml:space="preserve"> </w:t>
      </w:r>
      <w:r w:rsidRPr="0006521B">
        <w:rPr>
          <w:szCs w:val="24"/>
          <w:lang w:eastAsia="el-GR"/>
        </w:rPr>
        <w:t xml:space="preserve">Μέσα από μια μελέτη 71 ασθενών που εμφάνιζαν οπτική νευρίτιδα (μονομερής ή διμερής), οξεία μυελίτιδα και καμία ένδειξη κλινικής νόσου έξω από τον οπτικό </w:t>
      </w:r>
      <w:r w:rsidRPr="0006521B">
        <w:rPr>
          <w:szCs w:val="24"/>
          <w:lang w:eastAsia="el-GR"/>
        </w:rPr>
        <w:lastRenderedPageBreak/>
        <w:t xml:space="preserve">νευρικό νωτιαίο μυελό, διαπιστώθηκε πως στις περισσότερες περιπτώσεις υπάρχει υποτροπιάζουσα πορεία. Οι ασθενείς με μονοφασική πορεία έχουν πιο σοβαρές επιπλοκές, καθώς επίσης φάνηκε πως το ένα τρίτο των ασθενών πάσχουν από </w:t>
      </w:r>
      <w:proofErr w:type="spellStart"/>
      <w:r w:rsidRPr="0006521B">
        <w:rPr>
          <w:szCs w:val="24"/>
          <w:lang w:eastAsia="el-GR"/>
        </w:rPr>
        <w:t>πλειοκυττάρωση</w:t>
      </w:r>
      <w:proofErr w:type="spellEnd"/>
      <w:r w:rsidRPr="0006521B">
        <w:rPr>
          <w:szCs w:val="24"/>
          <w:lang w:eastAsia="el-GR"/>
        </w:rPr>
        <w:t xml:space="preserve"> (CSF) με περισσότερα από 50 κύτταρα / mm3; και στη μαγνητική τομογραφία νωτιαίου μυελού σχεδόν στο 90% των περιπτώσεων εμφανίζεται ανωμαλία που εκτείνεται σε τρία ή περισσότερα σπονδυλικά τμήματα.</w:t>
      </w:r>
    </w:p>
    <w:p w:rsidR="00253066" w:rsidRPr="0006521B" w:rsidRDefault="00253066" w:rsidP="00253066">
      <w:pPr>
        <w:rPr>
          <w:szCs w:val="24"/>
          <w:lang w:eastAsia="el-GR"/>
        </w:rPr>
      </w:pPr>
      <w:r w:rsidRPr="0006521B">
        <w:rPr>
          <w:szCs w:val="24"/>
          <w:lang w:eastAsia="el-GR"/>
        </w:rPr>
        <w:t xml:space="preserve">Μέσα από τα παραπάνω ευρήματα προέκυψαν προτάσεις από συγγραφείς αναφορικά με νέα διαγνωστικά κριτήρια. Χαρακτηριστικά οι </w:t>
      </w:r>
      <w:proofErr w:type="spellStart"/>
      <w:r w:rsidRPr="0006521B">
        <w:rPr>
          <w:szCs w:val="24"/>
          <w:lang w:eastAsia="el-GR"/>
        </w:rPr>
        <w:t>Lucchinetti</w:t>
      </w:r>
      <w:proofErr w:type="spellEnd"/>
      <w:r w:rsidRPr="0006521B">
        <w:rPr>
          <w:szCs w:val="24"/>
          <w:lang w:eastAsia="el-GR"/>
        </w:rPr>
        <w:t xml:space="preserve"> </w:t>
      </w:r>
      <w:proofErr w:type="spellStart"/>
      <w:r w:rsidRPr="0006521B">
        <w:rPr>
          <w:szCs w:val="24"/>
          <w:lang w:eastAsia="el-GR"/>
        </w:rPr>
        <w:t>et</w:t>
      </w:r>
      <w:proofErr w:type="spellEnd"/>
      <w:r w:rsidRPr="0006521B">
        <w:rPr>
          <w:szCs w:val="24"/>
          <w:lang w:eastAsia="el-GR"/>
        </w:rPr>
        <w:t xml:space="preserve"> </w:t>
      </w:r>
      <w:proofErr w:type="spellStart"/>
      <w:r w:rsidRPr="0006521B">
        <w:rPr>
          <w:szCs w:val="24"/>
          <w:lang w:eastAsia="el-GR"/>
        </w:rPr>
        <w:t>al</w:t>
      </w:r>
      <w:proofErr w:type="spellEnd"/>
      <w:r w:rsidRPr="0006521B">
        <w:rPr>
          <w:color w:val="0000FF"/>
          <w:szCs w:val="24"/>
          <w:lang w:eastAsia="el-GR"/>
        </w:rPr>
        <w:t xml:space="preserve">. </w:t>
      </w:r>
      <w:r w:rsidRPr="0006521B">
        <w:rPr>
          <w:szCs w:val="24"/>
          <w:lang w:eastAsia="el-GR"/>
        </w:rPr>
        <w:t>το 2002, διεύρυναν τη γνώση της παθολογίας της οπτικής νευρομυελίτιδας και τόνισαν τις διαφορές αλλά και τις επικρατούσες κουλτούρες που υπερισχύουν αναφορικά με τη νόσο από τα κράτη μέλη.</w:t>
      </w:r>
      <w:r w:rsidRPr="0006521B">
        <w:rPr>
          <w:color w:val="0000FF"/>
          <w:szCs w:val="24"/>
          <w:lang w:eastAsia="el-GR"/>
        </w:rPr>
        <w:t xml:space="preserve"> </w:t>
      </w:r>
      <w:r w:rsidRPr="0006521B">
        <w:rPr>
          <w:szCs w:val="24"/>
          <w:lang w:eastAsia="el-GR"/>
        </w:rPr>
        <w:t xml:space="preserve">Συγκεκριμένα, σε αντιδιαστολή με την περίπτωση της πολλαπλής σκλήρυνσης, στην περίπτωση της οπτικής νευρομυελίτιδας, υπάρχει έντονη </w:t>
      </w:r>
      <w:proofErr w:type="spellStart"/>
      <w:r w:rsidRPr="0006521B">
        <w:rPr>
          <w:szCs w:val="24"/>
          <w:lang w:eastAsia="el-GR"/>
        </w:rPr>
        <w:t>περιαγγειακή</w:t>
      </w:r>
      <w:proofErr w:type="spellEnd"/>
      <w:r w:rsidRPr="0006521B">
        <w:rPr>
          <w:szCs w:val="24"/>
          <w:lang w:eastAsia="el-GR"/>
        </w:rPr>
        <w:t xml:space="preserve"> εναπόθεση και συμπλήρωμα </w:t>
      </w:r>
      <w:proofErr w:type="spellStart"/>
      <w:r w:rsidRPr="0006521B">
        <w:rPr>
          <w:szCs w:val="24"/>
          <w:lang w:eastAsia="el-GR"/>
        </w:rPr>
        <w:t>ανοσοσφαιρίνης</w:t>
      </w:r>
      <w:proofErr w:type="spellEnd"/>
      <w:r w:rsidRPr="0006521B">
        <w:rPr>
          <w:szCs w:val="24"/>
          <w:lang w:eastAsia="el-GR"/>
        </w:rPr>
        <w:t xml:space="preserve">, </w:t>
      </w:r>
      <w:proofErr w:type="spellStart"/>
      <w:r w:rsidRPr="0006521B">
        <w:rPr>
          <w:szCs w:val="24"/>
          <w:lang w:eastAsia="el-GR"/>
        </w:rPr>
        <w:t>ηωσινόφιλη</w:t>
      </w:r>
      <w:proofErr w:type="spellEnd"/>
      <w:r w:rsidRPr="0006521B">
        <w:rPr>
          <w:szCs w:val="24"/>
          <w:lang w:eastAsia="el-GR"/>
        </w:rPr>
        <w:t xml:space="preserve"> διήθηση και εξέχουσα αγγειακή </w:t>
      </w:r>
      <w:proofErr w:type="spellStart"/>
      <w:r w:rsidRPr="0006521B">
        <w:rPr>
          <w:szCs w:val="24"/>
          <w:lang w:eastAsia="el-GR"/>
        </w:rPr>
        <w:t>ίνωση</w:t>
      </w:r>
      <w:proofErr w:type="spellEnd"/>
      <w:r w:rsidRPr="0006521B">
        <w:rPr>
          <w:szCs w:val="24"/>
          <w:lang w:eastAsia="el-GR"/>
        </w:rPr>
        <w:t xml:space="preserve"> και </w:t>
      </w:r>
      <w:proofErr w:type="spellStart"/>
      <w:r w:rsidRPr="0006521B">
        <w:rPr>
          <w:szCs w:val="24"/>
          <w:lang w:eastAsia="el-GR"/>
        </w:rPr>
        <w:t>υαλίνωση</w:t>
      </w:r>
      <w:proofErr w:type="spellEnd"/>
      <w:r w:rsidRPr="0006521B">
        <w:rPr>
          <w:szCs w:val="24"/>
          <w:lang w:eastAsia="el-GR"/>
        </w:rPr>
        <w:t xml:space="preserve"> εντός των βλαβών. Έτσι προέκυψε το συμπέρασμα μέσα από αυτά τα ευρήματα ότι ο ρόλος της χημικής ανοσίας στην </w:t>
      </w:r>
      <w:proofErr w:type="spellStart"/>
      <w:r w:rsidRPr="0006521B">
        <w:rPr>
          <w:szCs w:val="24"/>
          <w:lang w:eastAsia="el-GR"/>
        </w:rPr>
        <w:t>παθογένεση</w:t>
      </w:r>
      <w:proofErr w:type="spellEnd"/>
      <w:r w:rsidRPr="0006521B">
        <w:rPr>
          <w:szCs w:val="24"/>
          <w:lang w:eastAsia="el-GR"/>
        </w:rPr>
        <w:t xml:space="preserve"> της οπτικής νευρομυελίτιδας είναι σημαντικός.</w:t>
      </w:r>
      <w:r w:rsidRPr="0006521B">
        <w:rPr>
          <w:color w:val="0000FF"/>
          <w:szCs w:val="24"/>
          <w:lang w:eastAsia="el-GR"/>
        </w:rPr>
        <w:t xml:space="preserve"> </w:t>
      </w:r>
      <w:r w:rsidRPr="0006521B">
        <w:rPr>
          <w:szCs w:val="24"/>
          <w:lang w:eastAsia="el-GR"/>
        </w:rPr>
        <w:t xml:space="preserve">Οι </w:t>
      </w:r>
      <w:proofErr w:type="spellStart"/>
      <w:r w:rsidRPr="0006521B">
        <w:rPr>
          <w:szCs w:val="24"/>
          <w:lang w:eastAsia="el-GR"/>
        </w:rPr>
        <w:t>Lennon</w:t>
      </w:r>
      <w:proofErr w:type="spellEnd"/>
      <w:r w:rsidRPr="0006521B">
        <w:rPr>
          <w:szCs w:val="24"/>
          <w:lang w:eastAsia="el-GR"/>
        </w:rPr>
        <w:t xml:space="preserve"> </w:t>
      </w:r>
      <w:proofErr w:type="spellStart"/>
      <w:r w:rsidRPr="0006521B">
        <w:rPr>
          <w:szCs w:val="24"/>
          <w:lang w:eastAsia="el-GR"/>
        </w:rPr>
        <w:t>et</w:t>
      </w:r>
      <w:proofErr w:type="spellEnd"/>
      <w:r w:rsidRPr="0006521B">
        <w:rPr>
          <w:szCs w:val="24"/>
          <w:lang w:eastAsia="el-GR"/>
        </w:rPr>
        <w:t xml:space="preserve"> </w:t>
      </w:r>
      <w:proofErr w:type="spellStart"/>
      <w:r w:rsidRPr="0006521B">
        <w:rPr>
          <w:szCs w:val="24"/>
          <w:lang w:eastAsia="el-GR"/>
        </w:rPr>
        <w:t>al</w:t>
      </w:r>
      <w:proofErr w:type="spellEnd"/>
      <w:r w:rsidRPr="0006521B">
        <w:rPr>
          <w:color w:val="0000FF"/>
          <w:szCs w:val="24"/>
          <w:lang w:eastAsia="el-GR"/>
        </w:rPr>
        <w:t xml:space="preserve">. </w:t>
      </w:r>
      <w:r w:rsidRPr="0006521B">
        <w:rPr>
          <w:szCs w:val="24"/>
          <w:lang w:eastAsia="el-GR"/>
        </w:rPr>
        <w:t xml:space="preserve">το 2004, εντόπισαν και δημοσίευσαν σε άρθρο, έναν δείκτη </w:t>
      </w:r>
      <w:proofErr w:type="spellStart"/>
      <w:r w:rsidRPr="0006521B">
        <w:rPr>
          <w:szCs w:val="24"/>
          <w:lang w:eastAsia="el-GR"/>
        </w:rPr>
        <w:t>αυτοαντισώματος</w:t>
      </w:r>
      <w:proofErr w:type="spellEnd"/>
      <w:r w:rsidRPr="0006521B">
        <w:rPr>
          <w:szCs w:val="24"/>
          <w:lang w:eastAsia="el-GR"/>
        </w:rPr>
        <w:t xml:space="preserve"> ορού με την ονομασία NMO-</w:t>
      </w:r>
      <w:proofErr w:type="spellStart"/>
      <w:r w:rsidRPr="0006521B">
        <w:rPr>
          <w:szCs w:val="24"/>
          <w:lang w:eastAsia="el-GR"/>
        </w:rPr>
        <w:t>IgG</w:t>
      </w:r>
      <w:proofErr w:type="spellEnd"/>
      <w:r w:rsidRPr="0006521B">
        <w:rPr>
          <w:szCs w:val="24"/>
          <w:lang w:eastAsia="el-GR"/>
        </w:rPr>
        <w:t xml:space="preserve">, ο οποίος μπορεί να διακρίνει το την οπτική νευρομυελίτιδα από την πολλαπλή σκλήρυνση και άλλες </w:t>
      </w:r>
      <w:proofErr w:type="spellStart"/>
      <w:r w:rsidRPr="0006521B">
        <w:rPr>
          <w:szCs w:val="24"/>
          <w:lang w:eastAsia="el-GR"/>
        </w:rPr>
        <w:t>απομυελινωτικές</w:t>
      </w:r>
      <w:proofErr w:type="spellEnd"/>
      <w:r w:rsidRPr="0006521B">
        <w:rPr>
          <w:szCs w:val="24"/>
          <w:lang w:eastAsia="el-GR"/>
        </w:rPr>
        <w:t xml:space="preserve"> διαταραχές. Το 2005, οι </w:t>
      </w:r>
      <w:proofErr w:type="spellStart"/>
      <w:r w:rsidRPr="0006521B">
        <w:rPr>
          <w:szCs w:val="24"/>
          <w:lang w:eastAsia="el-GR"/>
        </w:rPr>
        <w:t>Lennon</w:t>
      </w:r>
      <w:proofErr w:type="spellEnd"/>
      <w:r w:rsidRPr="0006521B">
        <w:rPr>
          <w:szCs w:val="24"/>
          <w:lang w:eastAsia="el-GR"/>
        </w:rPr>
        <w:t xml:space="preserve"> </w:t>
      </w:r>
      <w:proofErr w:type="spellStart"/>
      <w:r w:rsidRPr="0006521B">
        <w:rPr>
          <w:szCs w:val="24"/>
          <w:lang w:eastAsia="el-GR"/>
        </w:rPr>
        <w:t>et</w:t>
      </w:r>
      <w:proofErr w:type="spellEnd"/>
      <w:r w:rsidRPr="0006521B">
        <w:rPr>
          <w:szCs w:val="24"/>
          <w:lang w:eastAsia="el-GR"/>
        </w:rPr>
        <w:t xml:space="preserve"> </w:t>
      </w:r>
      <w:proofErr w:type="spellStart"/>
      <w:r w:rsidRPr="0006521B">
        <w:rPr>
          <w:szCs w:val="24"/>
          <w:lang w:eastAsia="el-GR"/>
        </w:rPr>
        <w:t>al</w:t>
      </w:r>
      <w:proofErr w:type="spellEnd"/>
      <w:r w:rsidRPr="0006521B">
        <w:rPr>
          <w:szCs w:val="24"/>
          <w:lang w:eastAsia="el-GR"/>
        </w:rPr>
        <w:t>.</w:t>
      </w:r>
      <w:r w:rsidR="00EF39B8">
        <w:rPr>
          <w:color w:val="0000FF"/>
          <w:szCs w:val="24"/>
          <w:lang w:eastAsia="el-GR"/>
        </w:rPr>
        <w:t xml:space="preserve"> </w:t>
      </w:r>
      <w:r w:rsidRPr="0006521B">
        <w:rPr>
          <w:szCs w:val="24"/>
          <w:lang w:eastAsia="el-GR"/>
        </w:rPr>
        <w:t>απέδειξαν ότι το NMO-</w:t>
      </w:r>
      <w:proofErr w:type="spellStart"/>
      <w:r w:rsidRPr="0006521B">
        <w:rPr>
          <w:szCs w:val="24"/>
          <w:lang w:eastAsia="el-GR"/>
        </w:rPr>
        <w:t>IgG</w:t>
      </w:r>
      <w:proofErr w:type="spellEnd"/>
      <w:r w:rsidRPr="0006521B">
        <w:rPr>
          <w:szCs w:val="24"/>
          <w:lang w:eastAsia="el-GR"/>
        </w:rPr>
        <w:t xml:space="preserve"> συνδέεται επιλεκτικά με το </w:t>
      </w:r>
      <w:r w:rsidRPr="00EF39B8">
        <w:rPr>
          <w:szCs w:val="24"/>
          <w:lang w:eastAsia="el-GR"/>
        </w:rPr>
        <w:t xml:space="preserve">aquaporin-4 (AQP-4). Τέλος, οι </w:t>
      </w:r>
      <w:proofErr w:type="spellStart"/>
      <w:r w:rsidRPr="00EF39B8">
        <w:rPr>
          <w:szCs w:val="24"/>
          <w:lang w:eastAsia="el-GR"/>
        </w:rPr>
        <w:t>Pittock</w:t>
      </w:r>
      <w:proofErr w:type="spellEnd"/>
      <w:r w:rsidRPr="00EF39B8">
        <w:rPr>
          <w:szCs w:val="24"/>
          <w:lang w:eastAsia="el-GR"/>
        </w:rPr>
        <w:t xml:space="preserve"> </w:t>
      </w:r>
      <w:proofErr w:type="spellStart"/>
      <w:r w:rsidRPr="00EF39B8">
        <w:rPr>
          <w:szCs w:val="24"/>
          <w:lang w:eastAsia="el-GR"/>
        </w:rPr>
        <w:t>et</w:t>
      </w:r>
      <w:proofErr w:type="spellEnd"/>
      <w:r w:rsidRPr="00EF39B8">
        <w:rPr>
          <w:szCs w:val="24"/>
          <w:lang w:eastAsia="el-GR"/>
        </w:rPr>
        <w:t xml:space="preserve"> </w:t>
      </w:r>
      <w:proofErr w:type="spellStart"/>
      <w:r w:rsidRPr="00EF39B8">
        <w:rPr>
          <w:szCs w:val="24"/>
          <w:lang w:eastAsia="el-GR"/>
        </w:rPr>
        <w:t>al</w:t>
      </w:r>
      <w:proofErr w:type="spellEnd"/>
      <w:r w:rsidRPr="00EF39B8">
        <w:rPr>
          <w:szCs w:val="24"/>
          <w:lang w:eastAsia="el-GR"/>
        </w:rPr>
        <w:t xml:space="preserve">. </w:t>
      </w:r>
      <w:r w:rsidR="00EF39B8" w:rsidRPr="00EF39B8">
        <w:rPr>
          <w:szCs w:val="24"/>
          <w:lang w:eastAsia="el-GR"/>
        </w:rPr>
        <w:t>(2006)</w:t>
      </w:r>
      <w:r w:rsidRPr="00EF39B8">
        <w:rPr>
          <w:szCs w:val="24"/>
          <w:lang w:eastAsia="el-GR"/>
        </w:rPr>
        <w:t xml:space="preserve"> ανέφεραν το γεγονός ότι δε βρέθηκαν</w:t>
      </w:r>
      <w:r w:rsidRPr="0006521B">
        <w:rPr>
          <w:szCs w:val="24"/>
          <w:lang w:eastAsia="el-GR"/>
        </w:rPr>
        <w:t xml:space="preserve"> ειδικές αλλοιώσεις κατά την εγκεφαλική μαγνητική τομογραφία στην πλειονότητα των ασθενών με οπτική νευρομυελίτιδα.</w:t>
      </w:r>
    </w:p>
    <w:p w:rsidR="00253066" w:rsidRPr="00253066" w:rsidRDefault="00253066" w:rsidP="00253066">
      <w:pPr>
        <w:rPr>
          <w:lang w:eastAsia="el-GR"/>
        </w:rPr>
      </w:pPr>
    </w:p>
    <w:p w:rsidR="00FC5538" w:rsidRDefault="00A50CA8" w:rsidP="00A50CA8">
      <w:pPr>
        <w:pStyle w:val="2"/>
        <w:rPr>
          <w:rFonts w:eastAsia="ArialMT"/>
          <w:lang w:eastAsia="el-GR"/>
        </w:rPr>
      </w:pPr>
      <w:bookmarkStart w:id="41" w:name="_Toc57241643"/>
      <w:r>
        <w:rPr>
          <w:rFonts w:eastAsia="ArialMT"/>
          <w:lang w:eastAsia="el-GR"/>
        </w:rPr>
        <w:t xml:space="preserve">3.2 </w:t>
      </w:r>
      <w:r w:rsidR="00EF39B8">
        <w:rPr>
          <w:rFonts w:eastAsia="ArialMT"/>
          <w:lang w:eastAsia="el-GR"/>
        </w:rPr>
        <w:t>Κ</w:t>
      </w:r>
      <w:r w:rsidR="0045538D" w:rsidRPr="00A50CA8">
        <w:rPr>
          <w:rFonts w:eastAsia="ArialMT"/>
          <w:lang w:eastAsia="el-GR"/>
        </w:rPr>
        <w:t>ατηγοριοποίηση</w:t>
      </w:r>
      <w:bookmarkEnd w:id="41"/>
    </w:p>
    <w:p w:rsidR="00EF39B8" w:rsidRPr="00EF39B8" w:rsidRDefault="00EF39B8" w:rsidP="00EF39B8">
      <w:pPr>
        <w:rPr>
          <w:szCs w:val="24"/>
          <w:lang w:eastAsia="el-GR"/>
        </w:rPr>
      </w:pPr>
      <w:r w:rsidRPr="00EF39B8">
        <w:rPr>
          <w:szCs w:val="24"/>
          <w:lang w:eastAsia="el-GR"/>
        </w:rPr>
        <w:t xml:space="preserve">Η Οπτική Νευρομυελίτιδα που είναι επίσης γνωστή και ως νόσος ή σύνδρομο </w:t>
      </w:r>
      <w:proofErr w:type="spellStart"/>
      <w:r w:rsidRPr="00EF39B8">
        <w:rPr>
          <w:szCs w:val="24"/>
          <w:lang w:eastAsia="el-GR"/>
        </w:rPr>
        <w:t>Devic</w:t>
      </w:r>
      <w:proofErr w:type="spellEnd"/>
      <w:r w:rsidRPr="00EF39B8">
        <w:rPr>
          <w:szCs w:val="24"/>
          <w:lang w:eastAsia="el-GR"/>
        </w:rPr>
        <w:t xml:space="preserve">, είναι μια </w:t>
      </w:r>
      <w:proofErr w:type="spellStart"/>
      <w:r w:rsidRPr="00EF39B8">
        <w:rPr>
          <w:szCs w:val="24"/>
          <w:lang w:eastAsia="el-GR"/>
        </w:rPr>
        <w:t>απομυελινωτική</w:t>
      </w:r>
      <w:proofErr w:type="spellEnd"/>
      <w:r w:rsidRPr="00EF39B8">
        <w:rPr>
          <w:szCs w:val="24"/>
          <w:lang w:eastAsia="el-GR"/>
        </w:rPr>
        <w:t xml:space="preserve"> νόσος που αφορά το ΚΝΣ και είναι επίκτητη. Πλειοψηφικά των περιπτώσεων δύναται να μιμηθεί την Πολλαπλή Σκλήρυνση, αλλά η διαφοροποίησή αυτής έγκειται στη τυπική συμπτωματολογία της και την γενετική προέλευση.</w:t>
      </w:r>
    </w:p>
    <w:p w:rsidR="00EF39B8" w:rsidRPr="00EF39B8" w:rsidRDefault="00EF39B8" w:rsidP="00EF39B8">
      <w:pPr>
        <w:rPr>
          <w:szCs w:val="24"/>
          <w:lang w:eastAsia="el-GR"/>
        </w:rPr>
      </w:pPr>
      <w:r w:rsidRPr="00EF39B8">
        <w:rPr>
          <w:szCs w:val="24"/>
          <w:lang w:eastAsia="el-GR"/>
        </w:rPr>
        <w:t xml:space="preserve">Το σύνδρομο </w:t>
      </w:r>
      <w:r w:rsidRPr="00EF39B8">
        <w:rPr>
          <w:szCs w:val="24"/>
          <w:lang w:val="en-US" w:eastAsia="el-GR"/>
        </w:rPr>
        <w:t>Devic</w:t>
      </w:r>
      <w:r w:rsidRPr="00EF39B8">
        <w:rPr>
          <w:szCs w:val="24"/>
          <w:lang w:eastAsia="el-GR"/>
        </w:rPr>
        <w:t xml:space="preserve"> ή αλλιώς «</w:t>
      </w:r>
      <w:r w:rsidRPr="00EF39B8">
        <w:rPr>
          <w:szCs w:val="24"/>
          <w:lang w:val="en-US" w:eastAsia="el-GR"/>
        </w:rPr>
        <w:t>NMO</w:t>
      </w:r>
      <w:r w:rsidRPr="00EF39B8">
        <w:rPr>
          <w:szCs w:val="24"/>
          <w:lang w:eastAsia="el-GR"/>
        </w:rPr>
        <w:t xml:space="preserve">», αφορά μια φλεγμονώδη ιδιοπαθή </w:t>
      </w:r>
      <w:proofErr w:type="spellStart"/>
      <w:r w:rsidRPr="00EF39B8">
        <w:rPr>
          <w:szCs w:val="24"/>
          <w:lang w:eastAsia="el-GR"/>
        </w:rPr>
        <w:t>απομυελίνωση</w:t>
      </w:r>
      <w:proofErr w:type="spellEnd"/>
      <w:r w:rsidRPr="00EF39B8">
        <w:rPr>
          <w:szCs w:val="24"/>
          <w:lang w:eastAsia="el-GR"/>
        </w:rPr>
        <w:t xml:space="preserve"> και νεκρωτική ασθένεια η οποία χαρακτηρίζεται από την κυρίαρχη εμπλοκή των οπτικών νεύρων και του νωτιαίου μυελού. Στις ασιατικές χώρες η κατάσταση της υποτροπιάζουσας οπτικής νευρομυελίτιδας, ήταν γνωστή ως «Οπτική Σπονδυλική Σκλήρυνση». Υπήρχαν για αρκετά χρόνια θεωρίες αναφορικά για το εάν η εν λόγω νόσος, είναι μια παραλλαγή της </w:t>
      </w:r>
      <w:r w:rsidRPr="00EF39B8">
        <w:rPr>
          <w:szCs w:val="24"/>
          <w:lang w:eastAsia="el-GR"/>
        </w:rPr>
        <w:lastRenderedPageBreak/>
        <w:t>σκλήρυνσης κατά πλάκας (</w:t>
      </w:r>
      <w:r w:rsidRPr="00EF39B8">
        <w:rPr>
          <w:szCs w:val="24"/>
          <w:lang w:val="en-US" w:eastAsia="el-GR"/>
        </w:rPr>
        <w:t>MS</w:t>
      </w:r>
      <w:r w:rsidRPr="00EF39B8">
        <w:rPr>
          <w:szCs w:val="24"/>
          <w:lang w:eastAsia="el-GR"/>
        </w:rPr>
        <w:t xml:space="preserve">) ή μιας διακριτής νόσου. Πρόσφατες μελέτες έχουν δείξει ότι η </w:t>
      </w:r>
      <w:r w:rsidRPr="00EF39B8">
        <w:rPr>
          <w:szCs w:val="24"/>
          <w:lang w:val="en-US" w:eastAsia="el-GR"/>
        </w:rPr>
        <w:t>NMO</w:t>
      </w:r>
      <w:r w:rsidRPr="00EF39B8">
        <w:rPr>
          <w:szCs w:val="24"/>
          <w:lang w:eastAsia="el-GR"/>
        </w:rPr>
        <w:t xml:space="preserve"> έχει συχνότερα </w:t>
      </w:r>
      <w:proofErr w:type="spellStart"/>
      <w:r w:rsidRPr="00EF39B8">
        <w:rPr>
          <w:szCs w:val="24"/>
          <w:lang w:eastAsia="el-GR"/>
        </w:rPr>
        <w:t>αυτοτροπιάζουσα</w:t>
      </w:r>
      <w:proofErr w:type="spellEnd"/>
      <w:r w:rsidRPr="00EF39B8">
        <w:rPr>
          <w:szCs w:val="24"/>
          <w:lang w:eastAsia="el-GR"/>
        </w:rPr>
        <w:t xml:space="preserve"> πορεία και είναι αποτέλεσμα της επίθεσης στην ακουαρίνη-4 που είναι το κυρίαρχο κανάλι νερού στο ΚΝΣ. </w:t>
      </w:r>
    </w:p>
    <w:p w:rsidR="00EF39B8" w:rsidRPr="00EF39B8" w:rsidRDefault="00EF39B8" w:rsidP="00EF39B8">
      <w:pPr>
        <w:rPr>
          <w:szCs w:val="24"/>
          <w:lang w:eastAsia="el-GR"/>
        </w:rPr>
      </w:pPr>
      <w:r w:rsidRPr="00EF39B8">
        <w:rPr>
          <w:szCs w:val="24"/>
          <w:lang w:eastAsia="el-GR"/>
        </w:rPr>
        <w:t xml:space="preserve">Τα διακριτικά παθολογικά χαρακτηριστικά της νόσου, περιλαμβάνουν την </w:t>
      </w:r>
      <w:proofErr w:type="spellStart"/>
      <w:r w:rsidRPr="00EF39B8">
        <w:rPr>
          <w:szCs w:val="24"/>
          <w:lang w:eastAsia="el-GR"/>
        </w:rPr>
        <w:t>περιαγγειακή</w:t>
      </w:r>
      <w:proofErr w:type="spellEnd"/>
      <w:r w:rsidRPr="00EF39B8">
        <w:rPr>
          <w:szCs w:val="24"/>
          <w:lang w:eastAsia="el-GR"/>
        </w:rPr>
        <w:t xml:space="preserve"> εναπόθεση </w:t>
      </w:r>
      <w:r w:rsidRPr="00EF39B8">
        <w:rPr>
          <w:szCs w:val="24"/>
          <w:lang w:val="en-US" w:eastAsia="el-GR"/>
        </w:rPr>
        <w:t>IgG</w:t>
      </w:r>
      <w:r w:rsidRPr="00EF39B8">
        <w:rPr>
          <w:szCs w:val="24"/>
          <w:lang w:eastAsia="el-GR"/>
        </w:rPr>
        <w:t xml:space="preserve"> και συμπληρώματος στον </w:t>
      </w:r>
      <w:proofErr w:type="spellStart"/>
      <w:r w:rsidRPr="00EF39B8">
        <w:rPr>
          <w:szCs w:val="24"/>
          <w:lang w:eastAsia="el-GR"/>
        </w:rPr>
        <w:t>περιαγγειακό</w:t>
      </w:r>
      <w:proofErr w:type="spellEnd"/>
      <w:r w:rsidRPr="00EF39B8">
        <w:rPr>
          <w:szCs w:val="24"/>
          <w:lang w:eastAsia="el-GR"/>
        </w:rPr>
        <w:t xml:space="preserve"> χώρο, διηθήματα κοκκιοκυττάρων και </w:t>
      </w:r>
      <w:proofErr w:type="spellStart"/>
      <w:r w:rsidRPr="00EF39B8">
        <w:rPr>
          <w:szCs w:val="24"/>
          <w:lang w:eastAsia="el-GR"/>
        </w:rPr>
        <w:t>ηωσινόφιλων</w:t>
      </w:r>
      <w:proofErr w:type="spellEnd"/>
      <w:r w:rsidRPr="00EF39B8">
        <w:rPr>
          <w:szCs w:val="24"/>
          <w:lang w:eastAsia="el-GR"/>
        </w:rPr>
        <w:t xml:space="preserve"> και </w:t>
      </w:r>
      <w:proofErr w:type="spellStart"/>
      <w:r w:rsidRPr="00EF39B8">
        <w:rPr>
          <w:szCs w:val="24"/>
          <w:lang w:eastAsia="el-GR"/>
        </w:rPr>
        <w:t>υαλίνωση</w:t>
      </w:r>
      <w:proofErr w:type="spellEnd"/>
      <w:r w:rsidRPr="00EF39B8">
        <w:rPr>
          <w:szCs w:val="24"/>
          <w:lang w:eastAsia="el-GR"/>
        </w:rPr>
        <w:t xml:space="preserve"> των αγγειακών τοιχωμάτων. Αυτά τα χαρακτηριστικά διακρίνουν την οπτική νευρομυελίτιδα από άλλες </w:t>
      </w:r>
      <w:proofErr w:type="spellStart"/>
      <w:r w:rsidRPr="00EF39B8">
        <w:rPr>
          <w:szCs w:val="24"/>
          <w:lang w:eastAsia="el-GR"/>
        </w:rPr>
        <w:t>απομυελινωτικές</w:t>
      </w:r>
      <w:proofErr w:type="spellEnd"/>
      <w:r w:rsidRPr="00EF39B8">
        <w:rPr>
          <w:szCs w:val="24"/>
          <w:lang w:eastAsia="el-GR"/>
        </w:rPr>
        <w:t xml:space="preserve"> ασθένειες όπως είναι η σκλήρυνση κατά πλάκας και η οξεία </w:t>
      </w:r>
      <w:proofErr w:type="spellStart"/>
      <w:r w:rsidRPr="00EF39B8">
        <w:rPr>
          <w:szCs w:val="24"/>
          <w:lang w:eastAsia="el-GR"/>
        </w:rPr>
        <w:t>απομυελινωτική</w:t>
      </w:r>
      <w:proofErr w:type="spellEnd"/>
      <w:r w:rsidRPr="00EF39B8">
        <w:rPr>
          <w:szCs w:val="24"/>
          <w:lang w:eastAsia="el-GR"/>
        </w:rPr>
        <w:t xml:space="preserve"> </w:t>
      </w:r>
      <w:proofErr w:type="spellStart"/>
      <w:r w:rsidRPr="00EF39B8">
        <w:rPr>
          <w:szCs w:val="24"/>
          <w:lang w:eastAsia="el-GR"/>
        </w:rPr>
        <w:t>εγκεφαλομυελοπάθεια</w:t>
      </w:r>
      <w:proofErr w:type="spellEnd"/>
      <w:r w:rsidRPr="00EF39B8">
        <w:rPr>
          <w:szCs w:val="24"/>
          <w:lang w:eastAsia="el-GR"/>
        </w:rPr>
        <w:t xml:space="preserve">. Χαρακτηριστικά, ένα </w:t>
      </w:r>
      <w:r w:rsidRPr="00EF39B8">
        <w:rPr>
          <w:szCs w:val="24"/>
          <w:lang w:val="en-US" w:eastAsia="el-GR"/>
        </w:rPr>
        <w:t>IgG</w:t>
      </w:r>
      <w:r w:rsidRPr="00EF39B8">
        <w:rPr>
          <w:szCs w:val="24"/>
          <w:lang w:eastAsia="el-GR"/>
        </w:rPr>
        <w:t xml:space="preserve">-αντίσωμα που συνδέεται με το </w:t>
      </w:r>
      <w:r w:rsidRPr="00EF39B8">
        <w:rPr>
          <w:szCs w:val="24"/>
          <w:lang w:val="en-US" w:eastAsia="el-GR"/>
        </w:rPr>
        <w:t>aquaporin</w:t>
      </w:r>
      <w:r w:rsidRPr="00EF39B8">
        <w:rPr>
          <w:szCs w:val="24"/>
          <w:lang w:eastAsia="el-GR"/>
        </w:rPr>
        <w:t xml:space="preserve">-4, που ονομάζεται </w:t>
      </w:r>
      <w:r w:rsidRPr="00EF39B8">
        <w:rPr>
          <w:szCs w:val="24"/>
          <w:lang w:val="en-US" w:eastAsia="el-GR"/>
        </w:rPr>
        <w:t>NMO</w:t>
      </w:r>
      <w:r w:rsidRPr="00EF39B8">
        <w:rPr>
          <w:szCs w:val="24"/>
          <w:lang w:eastAsia="el-GR"/>
        </w:rPr>
        <w:t>-</w:t>
      </w:r>
      <w:r w:rsidRPr="00EF39B8">
        <w:rPr>
          <w:szCs w:val="24"/>
          <w:lang w:val="en-US" w:eastAsia="el-GR"/>
        </w:rPr>
        <w:t>IgG</w:t>
      </w:r>
      <w:r w:rsidRPr="00EF39B8">
        <w:rPr>
          <w:szCs w:val="24"/>
          <w:lang w:eastAsia="el-GR"/>
        </w:rPr>
        <w:t xml:space="preserve"> εμφανίζει υψηλή ευαισθησία. Μέσα από μελέτες μαγνητικής τομογραφίας (</w:t>
      </w:r>
      <w:r w:rsidRPr="00EF39B8">
        <w:rPr>
          <w:szCs w:val="24"/>
          <w:lang w:val="en-US" w:eastAsia="el-GR"/>
        </w:rPr>
        <w:t>MRI</w:t>
      </w:r>
      <w:r w:rsidRPr="00EF39B8">
        <w:rPr>
          <w:szCs w:val="24"/>
          <w:lang w:eastAsia="el-GR"/>
        </w:rPr>
        <w:t>) οι οποίες αποκάλυψαν ότι συχνά υπάρχει μια μακρά βλάβη του νωτιαίου μυελού που εκτείνεται μέσω τριών ή περισσότερων σπονδυλικών τμημάτων στο μήκος, την ξεχωρίζει από την σκλήρυνση κατά πλάκας όπου στις περισσότερες περιπτώσεις οι αλλοιώσεις της εγκεφαλικής μαγνητικής τομογραφίας είναι άτυπες.</w:t>
      </w:r>
    </w:p>
    <w:p w:rsidR="00EF39B8" w:rsidRPr="00EF39B8" w:rsidRDefault="00EF39B8" w:rsidP="00EF39B8">
      <w:pPr>
        <w:rPr>
          <w:szCs w:val="24"/>
          <w:lang w:eastAsia="el-GR"/>
        </w:rPr>
      </w:pPr>
      <w:r w:rsidRPr="00EF39B8">
        <w:rPr>
          <w:szCs w:val="24"/>
          <w:lang w:eastAsia="el-GR"/>
        </w:rPr>
        <w:t xml:space="preserve">Μελέτες δείχνουν ότι το σύνδρομο </w:t>
      </w:r>
      <w:proofErr w:type="spellStart"/>
      <w:r w:rsidRPr="00EF39B8">
        <w:rPr>
          <w:szCs w:val="24"/>
          <w:lang w:eastAsia="el-GR"/>
        </w:rPr>
        <w:t>Devic</w:t>
      </w:r>
      <w:proofErr w:type="spellEnd"/>
      <w:r w:rsidRPr="00EF39B8">
        <w:rPr>
          <w:szCs w:val="24"/>
          <w:lang w:eastAsia="el-GR"/>
        </w:rPr>
        <w:t xml:space="preserve"> εμφανίζεται μόνο σε μια μειονότητα περιπτώσεων, με γυναίκες και άνδρες να επηρεάζονται εξίσου. Σε περισσότερο από 80-90% των περιπτώσεων, η NMO ακολουθεί μια υποτροπιάζουσα πορεία, η οποία απαντάται συχνότερα σε γυναίκες και σχετίζεται με μεγαλύτερες ηλικίες κατά την έναρξη της, όπως επίσης υπάρχει συχνά μεγαλύτερο χρονικό διάστημα μεταξύ των συμπτωμάτων</w:t>
      </w:r>
      <w:r>
        <w:rPr>
          <w:szCs w:val="24"/>
          <w:lang w:eastAsia="el-GR"/>
        </w:rPr>
        <w:t xml:space="preserve"> </w:t>
      </w:r>
      <w:r w:rsidRPr="00EF39B8">
        <w:rPr>
          <w:szCs w:val="24"/>
          <w:lang w:eastAsia="el-GR"/>
        </w:rPr>
        <w:t>(</w:t>
      </w:r>
      <w:r>
        <w:rPr>
          <w:szCs w:val="24"/>
          <w:lang w:val="en-US" w:eastAsia="el-GR"/>
        </w:rPr>
        <w:t>Mata</w:t>
      </w:r>
      <w:r w:rsidRPr="00EF39B8">
        <w:rPr>
          <w:szCs w:val="24"/>
          <w:lang w:eastAsia="el-GR"/>
        </w:rPr>
        <w:t xml:space="preserve"> &amp; </w:t>
      </w:r>
      <w:r>
        <w:rPr>
          <w:szCs w:val="24"/>
          <w:lang w:val="en-US" w:eastAsia="el-GR"/>
        </w:rPr>
        <w:t>Lolli</w:t>
      </w:r>
      <w:r w:rsidRPr="00EF39B8">
        <w:rPr>
          <w:szCs w:val="24"/>
          <w:lang w:eastAsia="el-GR"/>
        </w:rPr>
        <w:t xml:space="preserve">, 2011; </w:t>
      </w:r>
      <w:r>
        <w:rPr>
          <w:szCs w:val="24"/>
          <w:lang w:val="en-US" w:eastAsia="el-GR"/>
        </w:rPr>
        <w:t>Papadopoulos</w:t>
      </w:r>
      <w:r w:rsidRPr="00EF39B8">
        <w:rPr>
          <w:szCs w:val="24"/>
          <w:lang w:eastAsia="el-GR"/>
        </w:rPr>
        <w:t xml:space="preserve">, </w:t>
      </w:r>
      <w:r>
        <w:rPr>
          <w:szCs w:val="24"/>
          <w:lang w:val="en-US" w:eastAsia="el-GR"/>
        </w:rPr>
        <w:t>Bennett</w:t>
      </w:r>
      <w:r w:rsidRPr="00EF39B8">
        <w:rPr>
          <w:szCs w:val="24"/>
          <w:lang w:eastAsia="el-GR"/>
        </w:rPr>
        <w:t xml:space="preserve"> &amp; </w:t>
      </w:r>
      <w:r>
        <w:rPr>
          <w:szCs w:val="24"/>
          <w:lang w:val="en-US" w:eastAsia="el-GR"/>
        </w:rPr>
        <w:t>Verkeman</w:t>
      </w:r>
      <w:r w:rsidRPr="00EF39B8">
        <w:rPr>
          <w:szCs w:val="24"/>
          <w:lang w:eastAsia="el-GR"/>
        </w:rPr>
        <w:t>, 2014).</w:t>
      </w:r>
    </w:p>
    <w:p w:rsidR="00EF39B8" w:rsidRPr="00EF39B8" w:rsidRDefault="00EF39B8" w:rsidP="00EF39B8">
      <w:pPr>
        <w:rPr>
          <w:szCs w:val="24"/>
          <w:lang w:eastAsia="el-GR"/>
        </w:rPr>
      </w:pPr>
      <w:r w:rsidRPr="00EF39B8">
        <w:rPr>
          <w:szCs w:val="24"/>
          <w:lang w:eastAsia="el-GR"/>
        </w:rPr>
        <w:t>Οι διαταραχές φάσματος NMO (NMOSD) είναι ένας προτεινόμενος όρος για την ταξινόμηση ασθενών που δεν πληρούν τ</w:t>
      </w:r>
      <w:r>
        <w:rPr>
          <w:szCs w:val="24"/>
          <w:lang w:eastAsia="el-GR"/>
        </w:rPr>
        <w:t>α διαγνωστικά κριτήρια του 2006</w:t>
      </w:r>
      <w:r w:rsidRPr="00EF39B8">
        <w:rPr>
          <w:szCs w:val="24"/>
          <w:lang w:eastAsia="el-GR"/>
        </w:rPr>
        <w:t xml:space="preserve">. Αυτή η κατάσταση χαρακτηρίζεται από την </w:t>
      </w:r>
      <w:proofErr w:type="spellStart"/>
      <w:r w:rsidRPr="00EF39B8">
        <w:rPr>
          <w:szCs w:val="24"/>
          <w:lang w:eastAsia="el-GR"/>
        </w:rPr>
        <w:t>οροθετικότητα</w:t>
      </w:r>
      <w:proofErr w:type="spellEnd"/>
      <w:r w:rsidRPr="00EF39B8">
        <w:rPr>
          <w:szCs w:val="24"/>
          <w:lang w:eastAsia="el-GR"/>
        </w:rPr>
        <w:t xml:space="preserve"> των anti-AQP4 εκτός από περιορισμένες μορφές NMO, συμπεριλαμβανομένων των ιδιοπαθών μεμονωμένων ή επαναλαμβανόμενων συμβάντων εκτεταμένης μυελίτιδας, ταυτόχρονης διμερούς ή επαναλαμβανόμενης</w:t>
      </w:r>
    </w:p>
    <w:p w:rsidR="00EF39B8" w:rsidRPr="00EF39B8" w:rsidRDefault="00EF39B8" w:rsidP="00EF39B8">
      <w:pPr>
        <w:rPr>
          <w:lang w:eastAsia="el-GR"/>
        </w:rPr>
      </w:pPr>
    </w:p>
    <w:p w:rsidR="00FC5538" w:rsidRPr="006A7992" w:rsidRDefault="00A50CA8" w:rsidP="00A50CA8">
      <w:pPr>
        <w:pStyle w:val="2"/>
        <w:rPr>
          <w:color w:val="000000"/>
        </w:rPr>
      </w:pPr>
      <w:bookmarkStart w:id="42" w:name="_Toc57241644"/>
      <w:r>
        <w:rPr>
          <w:color w:val="000000"/>
        </w:rPr>
        <w:t xml:space="preserve">3.3 </w:t>
      </w:r>
      <w:r w:rsidR="00A14790" w:rsidRPr="00A50CA8">
        <w:rPr>
          <w:color w:val="000000"/>
        </w:rPr>
        <w:t>Επιδημιολογία</w:t>
      </w:r>
      <w:bookmarkEnd w:id="42"/>
    </w:p>
    <w:p w:rsidR="009958D4" w:rsidRPr="009958D4" w:rsidRDefault="009958D4" w:rsidP="009958D4">
      <w:r w:rsidRPr="009958D4">
        <w:t>Οι μελέτες για την επιδημιολογία της NMO είναι ακόμη λίγες και τα δεδομένα μπορεί να είναι παραπλανητικά λόγω του ότι έχουν χρησιμοποιήσει διαφορετικοί συντάκτες διαφορετική διακριτή ορολογία και ορισμό της νόσου, καθώς και διαφορετικά διαγνωστικά κριτήρια και μεθόδους έρευνας.</w:t>
      </w:r>
    </w:p>
    <w:p w:rsidR="009958D4" w:rsidRPr="009958D4" w:rsidRDefault="009958D4" w:rsidP="009958D4">
      <w:pPr>
        <w:rPr>
          <w:b/>
          <w:u w:val="single"/>
        </w:rPr>
      </w:pPr>
      <w:r w:rsidRPr="009958D4">
        <w:lastRenderedPageBreak/>
        <w:t xml:space="preserve">Έχουν αναφερθεί περιστατικά NMO του </w:t>
      </w:r>
      <w:proofErr w:type="spellStart"/>
      <w:r w:rsidRPr="009958D4">
        <w:t>Devic</w:t>
      </w:r>
      <w:proofErr w:type="spellEnd"/>
      <w:r w:rsidRPr="009958D4">
        <w:t xml:space="preserve"> σε όλες τις ηπείρους και τις φυλές, αν και η ασθένεια είναι πιο διαδεδομένη σε περιοχές με πληθυσμούς Αφρικανών, Ασιατικών και Ινδών, όπου ο </w:t>
      </w:r>
      <w:proofErr w:type="spellStart"/>
      <w:r w:rsidRPr="009958D4">
        <w:t>επιπολασμός</w:t>
      </w:r>
      <w:proofErr w:type="spellEnd"/>
      <w:r w:rsidRPr="009958D4">
        <w:t xml:space="preserve"> της πολλαπλής σκλήρυνσης είναι συνήθως χαμηλός (</w:t>
      </w:r>
      <w:r>
        <w:rPr>
          <w:lang w:val="en-US"/>
        </w:rPr>
        <w:t>Barnado</w:t>
      </w:r>
      <w:r w:rsidRPr="009958D4">
        <w:t xml:space="preserve">, </w:t>
      </w:r>
      <w:r w:rsidRPr="009958D4">
        <w:rPr>
          <w:lang w:val="en-US"/>
        </w:rPr>
        <w:t>Crofford</w:t>
      </w:r>
      <w:r w:rsidRPr="009958D4">
        <w:t xml:space="preserve"> &amp; </w:t>
      </w:r>
      <w:r w:rsidRPr="009958D4">
        <w:rPr>
          <w:lang w:val="en-US"/>
        </w:rPr>
        <w:t>Oates</w:t>
      </w:r>
      <w:r w:rsidRPr="009958D4">
        <w:t xml:space="preserve">, 2015; </w:t>
      </w:r>
      <w:r w:rsidRPr="009958D4">
        <w:rPr>
          <w:bCs/>
          <w:iCs/>
          <w:lang w:val="en-US"/>
        </w:rPr>
        <w:t>Carmona</w:t>
      </w:r>
      <w:r w:rsidRPr="009958D4">
        <w:rPr>
          <w:bCs/>
          <w:iCs/>
        </w:rPr>
        <w:t>-</w:t>
      </w:r>
      <w:r w:rsidRPr="009958D4">
        <w:rPr>
          <w:bCs/>
          <w:iCs/>
          <w:lang w:val="en-US"/>
        </w:rPr>
        <w:t>Rivera</w:t>
      </w:r>
      <w:r w:rsidRPr="003A5017">
        <w:rPr>
          <w:bCs/>
          <w:iCs/>
        </w:rPr>
        <w:t xml:space="preserve"> </w:t>
      </w:r>
      <w:r w:rsidRPr="009958D4">
        <w:rPr>
          <w:bCs/>
          <w:iCs/>
        </w:rPr>
        <w:t xml:space="preserve">&amp; </w:t>
      </w:r>
      <w:r w:rsidRPr="009958D4">
        <w:rPr>
          <w:bCs/>
          <w:iCs/>
          <w:lang w:val="en-US"/>
        </w:rPr>
        <w:t>Kaplan</w:t>
      </w:r>
      <w:r w:rsidRPr="003A5017">
        <w:rPr>
          <w:bCs/>
          <w:iCs/>
        </w:rPr>
        <w:t>, 2013</w:t>
      </w:r>
      <w:r w:rsidRPr="009958D4">
        <w:t>).</w:t>
      </w:r>
    </w:p>
    <w:p w:rsidR="009958D4" w:rsidRPr="009958D4" w:rsidRDefault="009958D4" w:rsidP="009958D4">
      <w:r w:rsidRPr="009958D4">
        <w:t xml:space="preserve">Φαίνεται πως ο </w:t>
      </w:r>
      <w:proofErr w:type="spellStart"/>
      <w:r w:rsidRPr="009958D4">
        <w:t>επιπολασμός</w:t>
      </w:r>
      <w:proofErr w:type="spellEnd"/>
      <w:r w:rsidRPr="009958D4">
        <w:t xml:space="preserve"> του συνδρόμου είναι 1&lt;100.000 με 4,4&lt;100.000 σε Ευρώπη Νότια και Αμερική, δεδομένο που προκύπτει μέσα από πληθυσμιακές και </w:t>
      </w:r>
      <w:r w:rsidRPr="003A5017">
        <w:t>επιδημιολογικές μελέτες (</w:t>
      </w:r>
      <w:r w:rsidRPr="003A5017">
        <w:rPr>
          <w:lang w:val="en-US"/>
        </w:rPr>
        <w:t>Jarius</w:t>
      </w:r>
      <w:r w:rsidRPr="003A5017">
        <w:t xml:space="preserve">, </w:t>
      </w:r>
      <w:r w:rsidRPr="003A5017">
        <w:rPr>
          <w:lang w:val="en-US"/>
        </w:rPr>
        <w:t>Wildermann</w:t>
      </w:r>
      <w:r w:rsidRPr="003A5017">
        <w:t xml:space="preserve"> &amp; </w:t>
      </w:r>
      <w:r w:rsidRPr="003A5017">
        <w:rPr>
          <w:lang w:val="en-US"/>
        </w:rPr>
        <w:t>Paul</w:t>
      </w:r>
      <w:r w:rsidRPr="003A5017">
        <w:t>, 2014). Στον Ελλαδικό χώρο δεν είναι</w:t>
      </w:r>
      <w:r w:rsidRPr="009958D4">
        <w:t xml:space="preserve"> γνωστός ο αριθμός των ατόμων που πάσχουν από οπτική νευρομυελίτιδα. Ωστόσο, όπως προκύπτει, οι γυναίκες εμφανίζουν μεγαλύτερα ποσοστά κινδύνου για εμφάνιση υποτροπών, παρόλο που το φύλο δεν σχετίζεται άμεσα με την συχνότητα τους, με την ανάκαμψη από τη νόσο ή τη θνητότητα.</w:t>
      </w:r>
    </w:p>
    <w:p w:rsidR="009958D4" w:rsidRPr="009958D4" w:rsidRDefault="009958D4" w:rsidP="009958D4"/>
    <w:p w:rsidR="00FC5538" w:rsidRPr="006A7992" w:rsidRDefault="00A50CA8" w:rsidP="00A50CA8">
      <w:pPr>
        <w:pStyle w:val="2"/>
        <w:rPr>
          <w:color w:val="000000"/>
        </w:rPr>
      </w:pPr>
      <w:bookmarkStart w:id="43" w:name="_Toc57241645"/>
      <w:r>
        <w:rPr>
          <w:lang w:eastAsia="el-GR"/>
        </w:rPr>
        <w:t xml:space="preserve">3.4 </w:t>
      </w:r>
      <w:r w:rsidR="00FC5538" w:rsidRPr="00A50CA8">
        <w:rPr>
          <w:color w:val="000000"/>
        </w:rPr>
        <w:t xml:space="preserve">Παθολογία </w:t>
      </w:r>
      <w:r w:rsidR="00A14790" w:rsidRPr="00A50CA8">
        <w:rPr>
          <w:color w:val="000000"/>
        </w:rPr>
        <w:t xml:space="preserve">και </w:t>
      </w:r>
      <w:proofErr w:type="spellStart"/>
      <w:r w:rsidR="00A14790" w:rsidRPr="00A50CA8">
        <w:rPr>
          <w:color w:val="000000"/>
        </w:rPr>
        <w:t>ανοσοπαθογέ</w:t>
      </w:r>
      <w:r w:rsidR="00FC5538" w:rsidRPr="00A50CA8">
        <w:rPr>
          <w:color w:val="000000"/>
        </w:rPr>
        <w:t>νεια</w:t>
      </w:r>
      <w:bookmarkEnd w:id="43"/>
      <w:proofErr w:type="spellEnd"/>
    </w:p>
    <w:p w:rsidR="003A5017" w:rsidRPr="003A5017" w:rsidRDefault="003A5017" w:rsidP="003A5017">
      <w:pPr>
        <w:rPr>
          <w:szCs w:val="24"/>
        </w:rPr>
      </w:pPr>
      <w:r w:rsidRPr="003A5017">
        <w:rPr>
          <w:szCs w:val="24"/>
        </w:rPr>
        <w:t xml:space="preserve">Η εν λόγω ασθένεια, είναι μια φλεγμονώδης διαταραχή των οπτικών νεύρων και του νωτιαίου μυελού που σχετίζεται και με την φαιά αλλά και την λευκή ουσία. Ανατομικές βλάβες επηρεάζουν τόσο το νωτιαίο μυελό, τον υποθάλαμο και το μεσολόβιο, το εγκεφαλικό στέλεχος και το οπτικό νεύρο. </w:t>
      </w:r>
      <w:proofErr w:type="spellStart"/>
      <w:r w:rsidRPr="003A5017">
        <w:rPr>
          <w:szCs w:val="24"/>
        </w:rPr>
        <w:t>Παθογενετικό</w:t>
      </w:r>
      <w:proofErr w:type="spellEnd"/>
      <w:r w:rsidRPr="003A5017">
        <w:rPr>
          <w:szCs w:val="24"/>
        </w:rPr>
        <w:t xml:space="preserve"> ρόλο ως προς την δημιουργία της νόσου, φαίνεται μέσα από στοιχεία ότι έχουν τα αντισώματα έναντι της Ακουαπορίνης-4 (AQP4). </w:t>
      </w:r>
    </w:p>
    <w:p w:rsidR="003A5017" w:rsidRPr="003A5017" w:rsidRDefault="003A5017" w:rsidP="003A5017">
      <w:pPr>
        <w:rPr>
          <w:szCs w:val="24"/>
        </w:rPr>
      </w:pPr>
      <w:r w:rsidRPr="003A5017">
        <w:rPr>
          <w:szCs w:val="24"/>
        </w:rPr>
        <w:t xml:space="preserve">Η οπτική νευρομυελίτιδα, αποτελεί μια πολύπλοκη ασθένεια με αλληλεπίδραση μεταξύ περιβαλλοντικών και γενετικών παραγόντων του ξενιστή. Το κύριο ανοσολογικό χαρακτηριστικό της NMO είναι όπως προαναφέρθηκε, η παρουσία αντισωμάτων κατά της </w:t>
      </w:r>
      <w:proofErr w:type="spellStart"/>
      <w:r w:rsidRPr="003A5017">
        <w:rPr>
          <w:szCs w:val="24"/>
        </w:rPr>
        <w:t>ακουαπορίνης</w:t>
      </w:r>
      <w:proofErr w:type="spellEnd"/>
      <w:r w:rsidRPr="003A5017">
        <w:rPr>
          <w:szCs w:val="24"/>
        </w:rPr>
        <w:t xml:space="preserve"> 4. Ωστόσο, η έλλειψη </w:t>
      </w:r>
      <w:proofErr w:type="spellStart"/>
      <w:r w:rsidRPr="003A5017">
        <w:rPr>
          <w:szCs w:val="24"/>
        </w:rPr>
        <w:t>οροθετικότητας</w:t>
      </w:r>
      <w:proofErr w:type="spellEnd"/>
      <w:r w:rsidRPr="003A5017">
        <w:rPr>
          <w:szCs w:val="24"/>
        </w:rPr>
        <w:t xml:space="preserve"> κατά του AQP4 σε ένα υποσύνολο ασθενών με NMO υποδηλώνει ότι η μυελίτιδα και η οπτική νευρίτιδα μπορεί να προκληθούν από άλλους μηχανισμούς, όπως είναι οι διάφορες διαταραχές του συνδετικού ιστού, </w:t>
      </w:r>
      <w:proofErr w:type="spellStart"/>
      <w:r w:rsidRPr="003A5017">
        <w:rPr>
          <w:szCs w:val="24"/>
        </w:rPr>
        <w:t>παρανεοπλασματικές</w:t>
      </w:r>
      <w:proofErr w:type="spellEnd"/>
      <w:r w:rsidRPr="003A5017">
        <w:rPr>
          <w:szCs w:val="24"/>
        </w:rPr>
        <w:t xml:space="preserve"> διαταραχές</w:t>
      </w:r>
      <w:r w:rsidR="00160F20" w:rsidRPr="00160F20">
        <w:rPr>
          <w:szCs w:val="24"/>
        </w:rPr>
        <w:t xml:space="preserve"> (</w:t>
      </w:r>
      <w:r w:rsidR="00160F20">
        <w:rPr>
          <w:szCs w:val="24"/>
          <w:lang w:val="en-US"/>
        </w:rPr>
        <w:t>Jariu</w:t>
      </w:r>
      <w:r w:rsidR="00160F20" w:rsidRPr="00160F20">
        <w:rPr>
          <w:szCs w:val="24"/>
        </w:rPr>
        <w:t xml:space="preserve">, </w:t>
      </w:r>
      <w:r w:rsidR="00160F20">
        <w:rPr>
          <w:szCs w:val="24"/>
          <w:lang w:val="en-US"/>
        </w:rPr>
        <w:t>Paul</w:t>
      </w:r>
      <w:r w:rsidR="00160F20" w:rsidRPr="00160F20">
        <w:rPr>
          <w:szCs w:val="24"/>
        </w:rPr>
        <w:t xml:space="preserve">, </w:t>
      </w:r>
      <w:r w:rsidR="00160F20">
        <w:rPr>
          <w:szCs w:val="24"/>
          <w:lang w:val="en-US"/>
        </w:rPr>
        <w:t>Granciotta</w:t>
      </w:r>
      <w:r w:rsidR="00160F20" w:rsidRPr="00160F20">
        <w:rPr>
          <w:szCs w:val="24"/>
        </w:rPr>
        <w:t xml:space="preserve">, </w:t>
      </w:r>
      <w:r w:rsidR="00160F20">
        <w:rPr>
          <w:szCs w:val="24"/>
          <w:lang w:val="en-US"/>
        </w:rPr>
        <w:t>DeSeze</w:t>
      </w:r>
      <w:r w:rsidR="00160F20" w:rsidRPr="00160F20">
        <w:rPr>
          <w:szCs w:val="24"/>
        </w:rPr>
        <w:t xml:space="preserve">, </w:t>
      </w:r>
      <w:r w:rsidR="00160F20">
        <w:rPr>
          <w:szCs w:val="24"/>
          <w:lang w:val="en-US"/>
        </w:rPr>
        <w:t>Munch</w:t>
      </w:r>
      <w:r w:rsidR="00160F20" w:rsidRPr="00160F20">
        <w:rPr>
          <w:szCs w:val="24"/>
        </w:rPr>
        <w:t xml:space="preserve">, </w:t>
      </w:r>
      <w:r w:rsidR="00160F20">
        <w:rPr>
          <w:szCs w:val="24"/>
          <w:lang w:val="en-US"/>
        </w:rPr>
        <w:t>Salvetti</w:t>
      </w:r>
      <w:r w:rsidR="00160F20" w:rsidRPr="00160F20">
        <w:rPr>
          <w:szCs w:val="24"/>
        </w:rPr>
        <w:t xml:space="preserve"> </w:t>
      </w:r>
      <w:r w:rsidR="00160F20">
        <w:rPr>
          <w:szCs w:val="24"/>
          <w:lang w:val="en-US"/>
        </w:rPr>
        <w:t>et</w:t>
      </w:r>
      <w:r w:rsidR="00160F20" w:rsidRPr="00160F20">
        <w:rPr>
          <w:szCs w:val="24"/>
        </w:rPr>
        <w:t xml:space="preserve"> </w:t>
      </w:r>
      <w:r w:rsidR="00160F20">
        <w:rPr>
          <w:szCs w:val="24"/>
          <w:lang w:val="en-US"/>
        </w:rPr>
        <w:t>al</w:t>
      </w:r>
      <w:r w:rsidR="00160F20" w:rsidRPr="00160F20">
        <w:rPr>
          <w:szCs w:val="24"/>
        </w:rPr>
        <w:t>., 2012)</w:t>
      </w:r>
      <w:r w:rsidRPr="003A5017">
        <w:rPr>
          <w:color w:val="0000FF"/>
          <w:szCs w:val="24"/>
        </w:rPr>
        <w:t xml:space="preserve"> </w:t>
      </w:r>
      <w:r w:rsidRPr="003A5017">
        <w:rPr>
          <w:szCs w:val="24"/>
        </w:rPr>
        <w:t>ή μολυσματικές ασθένειες</w:t>
      </w:r>
      <w:r w:rsidR="00160F20" w:rsidRPr="00160F20">
        <w:rPr>
          <w:szCs w:val="24"/>
        </w:rPr>
        <w:t xml:space="preserve"> (</w:t>
      </w:r>
      <w:r w:rsidR="00160F20">
        <w:rPr>
          <w:szCs w:val="24"/>
          <w:lang w:val="en-US"/>
        </w:rPr>
        <w:t>Sellner</w:t>
      </w:r>
      <w:r w:rsidR="00160F20" w:rsidRPr="00160F20">
        <w:rPr>
          <w:szCs w:val="24"/>
        </w:rPr>
        <w:t xml:space="preserve">, </w:t>
      </w:r>
      <w:r w:rsidR="00160F20">
        <w:rPr>
          <w:szCs w:val="24"/>
          <w:lang w:val="en-US"/>
        </w:rPr>
        <w:t>Hemmer</w:t>
      </w:r>
      <w:r w:rsidR="00160F20" w:rsidRPr="00160F20">
        <w:rPr>
          <w:szCs w:val="24"/>
        </w:rPr>
        <w:t xml:space="preserve"> &amp; </w:t>
      </w:r>
      <w:r w:rsidR="00160F20">
        <w:rPr>
          <w:szCs w:val="24"/>
          <w:lang w:val="en-US"/>
        </w:rPr>
        <w:t>Muhlau</w:t>
      </w:r>
      <w:r w:rsidR="00160F20">
        <w:rPr>
          <w:szCs w:val="24"/>
        </w:rPr>
        <w:t>, 2010)</w:t>
      </w:r>
      <w:r w:rsidR="00160F20" w:rsidRPr="00160F20">
        <w:rPr>
          <w:szCs w:val="24"/>
        </w:rPr>
        <w:t>,</w:t>
      </w:r>
      <w:r w:rsidRPr="003A5017">
        <w:rPr>
          <w:color w:val="0000FF"/>
          <w:szCs w:val="24"/>
        </w:rPr>
        <w:t xml:space="preserve"> </w:t>
      </w:r>
      <w:r w:rsidRPr="003A5017">
        <w:rPr>
          <w:szCs w:val="24"/>
        </w:rPr>
        <w:t xml:space="preserve">παρέχοντας ισχυρές ενδείξεις υπέρ της υπόθεσης του NMO να είναι </w:t>
      </w:r>
      <w:proofErr w:type="spellStart"/>
      <w:r w:rsidRPr="003A5017">
        <w:rPr>
          <w:szCs w:val="24"/>
        </w:rPr>
        <w:t>ετεροπαθογενετικά</w:t>
      </w:r>
      <w:proofErr w:type="spellEnd"/>
      <w:r w:rsidRPr="003A5017">
        <w:rPr>
          <w:szCs w:val="24"/>
        </w:rPr>
        <w:t xml:space="preserve"> ετερογενής</w:t>
      </w:r>
      <w:r w:rsidR="0037569B" w:rsidRPr="0037569B">
        <w:rPr>
          <w:szCs w:val="24"/>
        </w:rPr>
        <w:t xml:space="preserve"> (</w:t>
      </w:r>
      <w:r w:rsidR="0037569B">
        <w:rPr>
          <w:szCs w:val="24"/>
          <w:lang w:val="en-US"/>
        </w:rPr>
        <w:t>Jarius</w:t>
      </w:r>
      <w:r w:rsidR="0037569B" w:rsidRPr="0037569B">
        <w:rPr>
          <w:szCs w:val="24"/>
        </w:rPr>
        <w:t xml:space="preserve"> &amp; </w:t>
      </w:r>
      <w:r w:rsidR="0037569B">
        <w:rPr>
          <w:szCs w:val="24"/>
          <w:lang w:val="en-US"/>
        </w:rPr>
        <w:t>Wildemann</w:t>
      </w:r>
      <w:r w:rsidR="0037569B" w:rsidRPr="0037569B">
        <w:rPr>
          <w:szCs w:val="24"/>
        </w:rPr>
        <w:t>, 2013).</w:t>
      </w:r>
    </w:p>
    <w:p w:rsidR="003A5017" w:rsidRPr="003A5017" w:rsidRDefault="003A5017" w:rsidP="003A5017"/>
    <w:p w:rsidR="00FC5538" w:rsidRPr="006A7992" w:rsidRDefault="00A50CA8" w:rsidP="00A50CA8">
      <w:pPr>
        <w:pStyle w:val="2"/>
        <w:rPr>
          <w:color w:val="000000"/>
        </w:rPr>
      </w:pPr>
      <w:bookmarkStart w:id="44" w:name="_Toc57241646"/>
      <w:r>
        <w:rPr>
          <w:lang w:eastAsia="el-GR"/>
        </w:rPr>
        <w:lastRenderedPageBreak/>
        <w:t xml:space="preserve">3.5 </w:t>
      </w:r>
      <w:r w:rsidR="00FC5538" w:rsidRPr="00A50CA8">
        <w:rPr>
          <w:color w:val="000000"/>
        </w:rPr>
        <w:t xml:space="preserve">Κλινικά </w:t>
      </w:r>
      <w:r w:rsidR="00A14790" w:rsidRPr="00A50CA8">
        <w:rPr>
          <w:color w:val="000000"/>
        </w:rPr>
        <w:t>χαρακτηριστικά</w:t>
      </w:r>
      <w:bookmarkEnd w:id="44"/>
      <w:r w:rsidR="00FC5538" w:rsidRPr="00A50CA8">
        <w:rPr>
          <w:color w:val="000000"/>
        </w:rPr>
        <w:t xml:space="preserve"> </w:t>
      </w:r>
    </w:p>
    <w:p w:rsidR="007027FA" w:rsidRPr="007027FA" w:rsidRDefault="007027FA" w:rsidP="007027FA">
      <w:pPr>
        <w:rPr>
          <w:b/>
          <w:u w:val="single"/>
        </w:rPr>
      </w:pPr>
      <w:r w:rsidRPr="007027FA">
        <w:t xml:space="preserve">Το 1870, έγινε για πρώτη φορά η αναφορά στη οπτική νευρομυελίτιδα από τον </w:t>
      </w:r>
      <w:proofErr w:type="spellStart"/>
      <w:r w:rsidRPr="007027FA">
        <w:t>Thomas</w:t>
      </w:r>
      <w:proofErr w:type="spellEnd"/>
      <w:r w:rsidRPr="007027FA">
        <w:t xml:space="preserve"> </w:t>
      </w:r>
      <w:proofErr w:type="spellStart"/>
      <w:r w:rsidRPr="007027FA">
        <w:t>Clifford</w:t>
      </w:r>
      <w:proofErr w:type="spellEnd"/>
      <w:r w:rsidRPr="007027FA">
        <w:t xml:space="preserve"> </w:t>
      </w:r>
      <w:proofErr w:type="spellStart"/>
      <w:r w:rsidRPr="007027FA">
        <w:t>Allbutt</w:t>
      </w:r>
      <w:proofErr w:type="spellEnd"/>
      <w:r w:rsidRPr="007027FA">
        <w:t xml:space="preserve"> ο οποίος εστίασε στη σχέση μεταξύ της μονομερούς διαταραχής του οπτικού νεύρου και της μυελίτιδας. Το 1894, ο </w:t>
      </w:r>
      <w:r w:rsidRPr="007027FA">
        <w:rPr>
          <w:lang w:val="en-US"/>
        </w:rPr>
        <w:t>Eug</w:t>
      </w:r>
      <w:r w:rsidRPr="007027FA">
        <w:t>è</w:t>
      </w:r>
      <w:r w:rsidRPr="007027FA">
        <w:rPr>
          <w:lang w:val="en-US"/>
        </w:rPr>
        <w:t>ne</w:t>
      </w:r>
      <w:r w:rsidRPr="007027FA">
        <w:t xml:space="preserve"> </w:t>
      </w:r>
      <w:r w:rsidRPr="007027FA">
        <w:rPr>
          <w:lang w:val="en-US"/>
        </w:rPr>
        <w:t>Devic</w:t>
      </w:r>
      <w:r w:rsidRPr="007027FA">
        <w:t xml:space="preserve"> και ο μαθητής του </w:t>
      </w:r>
      <w:r w:rsidRPr="007027FA">
        <w:rPr>
          <w:lang w:val="en-US"/>
        </w:rPr>
        <w:t>Fernand</w:t>
      </w:r>
      <w:r w:rsidRPr="007027FA">
        <w:t xml:space="preserve"> </w:t>
      </w:r>
      <w:r w:rsidRPr="007027FA">
        <w:rPr>
          <w:lang w:val="en-US"/>
        </w:rPr>
        <w:t>Gault</w:t>
      </w:r>
      <w:r w:rsidRPr="007027FA">
        <w:t xml:space="preserve"> ξεχώρισαν και μελέτησαν 16 ασθενείς που εμφάνιζαν απώλεια όρασης διμερώς ή μονομερώς και εντός λίγων εβδομάδων αναπτύχθηκε απώλεια ελέγχου του σφιγκτήρα, σπαστική </w:t>
      </w:r>
      <w:proofErr w:type="spellStart"/>
      <w:r w:rsidRPr="007027FA">
        <w:t>τετραπάρεση</w:t>
      </w:r>
      <w:proofErr w:type="spellEnd"/>
      <w:r w:rsidRPr="007027FA">
        <w:t xml:space="preserve"> ή παραβολή και απώλεια αίσθησης.</w:t>
      </w:r>
    </w:p>
    <w:p w:rsidR="007027FA" w:rsidRPr="007027FA" w:rsidRDefault="007027FA" w:rsidP="007027FA">
      <w:r w:rsidRPr="007027FA">
        <w:t xml:space="preserve">Μερικά συμπτώματα που εμφανίζουν οι ασθενείς ως κλινικά χαρακτηριστικά είναι η υποθερμία, ο πυρετός, η υπόταση, η βραδυκαρδία, ναρκοληψία, ανορεξία ή </w:t>
      </w:r>
      <w:proofErr w:type="spellStart"/>
      <w:r w:rsidRPr="007027FA">
        <w:t>υπερφαγία</w:t>
      </w:r>
      <w:proofErr w:type="spellEnd"/>
      <w:r w:rsidRPr="007027FA">
        <w:t xml:space="preserve">, ναυτία, εμετός και </w:t>
      </w:r>
      <w:proofErr w:type="spellStart"/>
      <w:r w:rsidRPr="007027FA">
        <w:t>λόξυγκας</w:t>
      </w:r>
      <w:proofErr w:type="spellEnd"/>
      <w:r w:rsidRPr="007027FA">
        <w:t xml:space="preserve"> (</w:t>
      </w:r>
      <w:r>
        <w:rPr>
          <w:lang w:val="en-US"/>
        </w:rPr>
        <w:t>Lana</w:t>
      </w:r>
      <w:r w:rsidRPr="007027FA">
        <w:t>-</w:t>
      </w:r>
      <w:r>
        <w:rPr>
          <w:lang w:val="en-US"/>
        </w:rPr>
        <w:t>Peixoto</w:t>
      </w:r>
      <w:r w:rsidRPr="007027FA">
        <w:t xml:space="preserve"> &amp; </w:t>
      </w:r>
      <w:r>
        <w:rPr>
          <w:lang w:val="en-US"/>
        </w:rPr>
        <w:t>Callegaro</w:t>
      </w:r>
      <w:r w:rsidRPr="007027FA">
        <w:t xml:space="preserve">, 2012). Η </w:t>
      </w:r>
      <w:proofErr w:type="spellStart"/>
      <w:r w:rsidRPr="007027FA">
        <w:t>υπονατριαιμία</w:t>
      </w:r>
      <w:proofErr w:type="spellEnd"/>
      <w:r w:rsidRPr="007027FA">
        <w:t xml:space="preserve"> και το σύνδρομο οπίσθιας αναστρέψιμης εγκεφαλοπάθειας (</w:t>
      </w:r>
      <w:r w:rsidRPr="007027FA">
        <w:rPr>
          <w:lang w:val="en-US"/>
        </w:rPr>
        <w:t>PRES</w:t>
      </w:r>
      <w:r w:rsidRPr="007027FA">
        <w:t xml:space="preserve">) είναι άλλες ασυνήθιστες επιπλοκές σε ασθενείς με </w:t>
      </w:r>
      <w:r w:rsidRPr="007027FA">
        <w:rPr>
          <w:lang w:val="en-US"/>
        </w:rPr>
        <w:t>NMO</w:t>
      </w:r>
      <w:r w:rsidRPr="007027FA">
        <w:t xml:space="preserve"> (</w:t>
      </w:r>
      <w:r w:rsidRPr="007027FA">
        <w:rPr>
          <w:bCs/>
          <w:lang w:val="en-US"/>
        </w:rPr>
        <w:t>Weinshenker</w:t>
      </w:r>
      <w:r w:rsidRPr="007027FA">
        <w:rPr>
          <w:bCs/>
        </w:rPr>
        <w:t>, 2014).</w:t>
      </w:r>
    </w:p>
    <w:p w:rsidR="007027FA" w:rsidRPr="007027FA" w:rsidRDefault="007027FA" w:rsidP="007027FA">
      <w:r w:rsidRPr="007027FA">
        <w:t xml:space="preserve">Επίσης, έχουν αναφερθεί διάφορες </w:t>
      </w:r>
      <w:proofErr w:type="spellStart"/>
      <w:r w:rsidRPr="007027FA">
        <w:t>αυτοάνοσες</w:t>
      </w:r>
      <w:proofErr w:type="spellEnd"/>
      <w:r w:rsidRPr="007027FA">
        <w:t xml:space="preserve"> ασθένειες σε έως και 30% των ασθενών με </w:t>
      </w:r>
      <w:r w:rsidRPr="007027FA">
        <w:rPr>
          <w:lang w:val="en-US"/>
        </w:rPr>
        <w:t>NMO</w:t>
      </w:r>
      <w:r w:rsidRPr="007027FA">
        <w:t xml:space="preserve">, γεγονός που υποδηλώνει ότι τα άτομα με αυτήν την πάθηση ενδέχεται έχουν γενετική προδιάθεση για </w:t>
      </w:r>
      <w:proofErr w:type="spellStart"/>
      <w:r w:rsidRPr="007027FA">
        <w:t>παρεκκλίνουσα</w:t>
      </w:r>
      <w:proofErr w:type="spellEnd"/>
      <w:r w:rsidRPr="007027FA">
        <w:t xml:space="preserve"> </w:t>
      </w:r>
      <w:proofErr w:type="spellStart"/>
      <w:r w:rsidRPr="007027FA">
        <w:t>αυτοανοσία</w:t>
      </w:r>
      <w:proofErr w:type="spellEnd"/>
      <w:r w:rsidRPr="007027FA">
        <w:t xml:space="preserve"> (</w:t>
      </w:r>
      <w:r>
        <w:rPr>
          <w:lang w:val="en-US"/>
        </w:rPr>
        <w:t>Mandler</w:t>
      </w:r>
      <w:r w:rsidRPr="007027FA">
        <w:t xml:space="preserve">, 2006). Υπάρχει μια δυνατή αναγνωρισμένη σχέση μεταξύ της </w:t>
      </w:r>
      <w:r w:rsidRPr="007027FA">
        <w:rPr>
          <w:lang w:val="en-US"/>
        </w:rPr>
        <w:t>NMO</w:t>
      </w:r>
      <w:r w:rsidRPr="007027FA">
        <w:t xml:space="preserve"> με άλλες συστηματικές </w:t>
      </w:r>
      <w:proofErr w:type="spellStart"/>
      <w:r w:rsidRPr="007027FA">
        <w:t>αυτοάνοσες</w:t>
      </w:r>
      <w:proofErr w:type="spellEnd"/>
      <w:r w:rsidRPr="007027FA">
        <w:t xml:space="preserve"> ασθένειες, όπως ο συστηματικός </w:t>
      </w:r>
      <w:proofErr w:type="spellStart"/>
      <w:r w:rsidRPr="007027FA">
        <w:t>ερυθηματώδης</w:t>
      </w:r>
      <w:proofErr w:type="spellEnd"/>
      <w:r w:rsidRPr="007027FA">
        <w:t xml:space="preserve"> λύκος (</w:t>
      </w:r>
      <w:r w:rsidRPr="007027FA">
        <w:rPr>
          <w:lang w:val="en-US"/>
        </w:rPr>
        <w:t>SLE</w:t>
      </w:r>
      <w:r w:rsidRPr="007027FA">
        <w:t xml:space="preserve">), Σύνδρομο </w:t>
      </w:r>
      <w:r w:rsidRPr="007027FA">
        <w:rPr>
          <w:lang w:val="en-US"/>
        </w:rPr>
        <w:t>Sj</w:t>
      </w:r>
      <w:r w:rsidRPr="007027FA">
        <w:t>ö</w:t>
      </w:r>
      <w:r w:rsidRPr="007027FA">
        <w:rPr>
          <w:lang w:val="en-US"/>
        </w:rPr>
        <w:t>gren</w:t>
      </w:r>
      <w:r w:rsidRPr="007027FA">
        <w:t xml:space="preserve"> (</w:t>
      </w:r>
      <w:r w:rsidRPr="007027FA">
        <w:rPr>
          <w:lang w:val="en-US"/>
        </w:rPr>
        <w:t>SS</w:t>
      </w:r>
      <w:r w:rsidRPr="007027FA">
        <w:t xml:space="preserve">), μυασθένεια </w:t>
      </w:r>
      <w:r w:rsidRPr="007027FA">
        <w:rPr>
          <w:lang w:val="en-US"/>
        </w:rPr>
        <w:t>gravis</w:t>
      </w:r>
      <w:r w:rsidRPr="007027FA">
        <w:t xml:space="preserve"> (</w:t>
      </w:r>
      <w:r w:rsidRPr="007027FA">
        <w:rPr>
          <w:lang w:val="en-US"/>
        </w:rPr>
        <w:t>MG</w:t>
      </w:r>
      <w:r w:rsidRPr="007027FA">
        <w:t xml:space="preserve">), σύνδρομο </w:t>
      </w:r>
      <w:r w:rsidRPr="007027FA">
        <w:rPr>
          <w:lang w:val="en-US"/>
        </w:rPr>
        <w:t>anticardiolipin</w:t>
      </w:r>
      <w:r w:rsidRPr="007027FA">
        <w:t xml:space="preserve">, ασθένειες που σχετίζονται με </w:t>
      </w:r>
      <w:r w:rsidRPr="007027FA">
        <w:rPr>
          <w:lang w:val="en-US"/>
        </w:rPr>
        <w:t>ANCA</w:t>
      </w:r>
      <w:r w:rsidRPr="007027FA">
        <w:t xml:space="preserve">, θυρεοειδίτιδα </w:t>
      </w:r>
      <w:r w:rsidRPr="007027FA">
        <w:rPr>
          <w:lang w:val="en-US"/>
        </w:rPr>
        <w:t>Hashimoto</w:t>
      </w:r>
      <w:r w:rsidRPr="007027FA">
        <w:t xml:space="preserve">, κακοήθης αναιμία, ελκώδη κολίτιδα, ιδιοπαθή </w:t>
      </w:r>
      <w:proofErr w:type="spellStart"/>
      <w:r w:rsidRPr="007027FA">
        <w:t>θρομβοκυτταροπενική</w:t>
      </w:r>
      <w:proofErr w:type="spellEnd"/>
      <w:r w:rsidRPr="007027FA">
        <w:t xml:space="preserve"> πορφύρα, πρωτοπαθής σκληρυντική </w:t>
      </w:r>
      <w:proofErr w:type="spellStart"/>
      <w:r w:rsidRPr="007027FA">
        <w:t>χολαγγειίτιδα</w:t>
      </w:r>
      <w:proofErr w:type="spellEnd"/>
      <w:r w:rsidRPr="007027FA">
        <w:t xml:space="preserve"> και </w:t>
      </w:r>
      <w:proofErr w:type="spellStart"/>
      <w:r w:rsidRPr="007027FA">
        <w:t>σαρκοείδωση</w:t>
      </w:r>
      <w:proofErr w:type="spellEnd"/>
      <w:r w:rsidR="0028479A" w:rsidRPr="0028479A">
        <w:t xml:space="preserve"> </w:t>
      </w:r>
      <w:r w:rsidR="000E28C5" w:rsidRPr="000E28C5">
        <w:t>(</w:t>
      </w:r>
      <w:r w:rsidR="0028479A" w:rsidRPr="0028479A">
        <w:rPr>
          <w:lang w:val="en-US"/>
        </w:rPr>
        <w:t>Jarius</w:t>
      </w:r>
      <w:r w:rsidR="0028479A" w:rsidRPr="0028479A">
        <w:t xml:space="preserve">, </w:t>
      </w:r>
      <w:r w:rsidR="0028479A" w:rsidRPr="0028479A">
        <w:rPr>
          <w:lang w:val="en-US"/>
        </w:rPr>
        <w:t>Paul</w:t>
      </w:r>
      <w:r w:rsidR="0028479A" w:rsidRPr="0028479A">
        <w:t xml:space="preserve">, </w:t>
      </w:r>
      <w:r w:rsidR="0028479A" w:rsidRPr="0028479A">
        <w:rPr>
          <w:lang w:val="en-US"/>
        </w:rPr>
        <w:t>Franciotta</w:t>
      </w:r>
      <w:r w:rsidR="0028479A" w:rsidRPr="0028479A">
        <w:t xml:space="preserve">, </w:t>
      </w:r>
      <w:r w:rsidR="0028479A" w:rsidRPr="0028479A">
        <w:rPr>
          <w:lang w:val="en-US"/>
        </w:rPr>
        <w:t>De</w:t>
      </w:r>
      <w:r w:rsidR="0028479A" w:rsidRPr="0028479A">
        <w:t xml:space="preserve"> </w:t>
      </w:r>
      <w:r w:rsidR="0028479A" w:rsidRPr="0028479A">
        <w:rPr>
          <w:lang w:val="en-US"/>
        </w:rPr>
        <w:t>Seze</w:t>
      </w:r>
      <w:r w:rsidR="0028479A" w:rsidRPr="0028479A">
        <w:t xml:space="preserve">, </w:t>
      </w:r>
      <w:r w:rsidR="0028479A" w:rsidRPr="0028479A">
        <w:rPr>
          <w:lang w:val="en-US"/>
        </w:rPr>
        <w:t>M</w:t>
      </w:r>
      <w:r w:rsidR="0028479A" w:rsidRPr="0028479A">
        <w:t>ü</w:t>
      </w:r>
      <w:r w:rsidR="0028479A" w:rsidRPr="0028479A">
        <w:rPr>
          <w:lang w:val="en-US"/>
        </w:rPr>
        <w:t>nch</w:t>
      </w:r>
      <w:r w:rsidR="0028479A" w:rsidRPr="0028479A">
        <w:t xml:space="preserve"> &amp; </w:t>
      </w:r>
      <w:r w:rsidR="0028479A" w:rsidRPr="0028479A">
        <w:rPr>
          <w:lang w:val="en-US"/>
        </w:rPr>
        <w:t>Salvetti</w:t>
      </w:r>
      <w:r w:rsidR="0028479A" w:rsidRPr="0028479A">
        <w:t xml:space="preserve">, </w:t>
      </w:r>
      <w:r w:rsidR="0028479A" w:rsidRPr="0028479A">
        <w:rPr>
          <w:lang w:val="en-US"/>
        </w:rPr>
        <w:t>et</w:t>
      </w:r>
      <w:r w:rsidR="0028479A" w:rsidRPr="0028479A">
        <w:t xml:space="preserve"> </w:t>
      </w:r>
      <w:r w:rsidR="0028479A" w:rsidRPr="0028479A">
        <w:rPr>
          <w:lang w:val="en-US"/>
        </w:rPr>
        <w:t>al</w:t>
      </w:r>
      <w:r w:rsidR="0028479A" w:rsidRPr="0028479A">
        <w:t xml:space="preserve">., 2012). </w:t>
      </w:r>
      <w:r w:rsidRPr="007027FA">
        <w:t xml:space="preserve"> </w:t>
      </w:r>
    </w:p>
    <w:p w:rsidR="00B52C0E" w:rsidRPr="00B52C0E" w:rsidRDefault="007027FA" w:rsidP="00B52C0E">
      <w:r w:rsidRPr="007027FA">
        <w:t xml:space="preserve">Σε πολλές περιπτώσεις, η </w:t>
      </w:r>
      <w:r w:rsidRPr="007027FA">
        <w:rPr>
          <w:lang w:val="en-US"/>
        </w:rPr>
        <w:t>NMO</w:t>
      </w:r>
      <w:r w:rsidRPr="007027FA">
        <w:t xml:space="preserve"> συνδέεται συχνά με πολλά άλλα </w:t>
      </w:r>
      <w:proofErr w:type="spellStart"/>
      <w:r w:rsidRPr="007027FA">
        <w:t>αυτοαντισώματα</w:t>
      </w:r>
      <w:proofErr w:type="spellEnd"/>
      <w:r w:rsidRPr="007027FA">
        <w:t xml:space="preserve">, συμπεριλαμβανομένων ειδικών αντισωμάτων κατά μια ομάδας </w:t>
      </w:r>
      <w:proofErr w:type="spellStart"/>
      <w:r w:rsidRPr="007027FA">
        <w:t>εξωκυτταρικών</w:t>
      </w:r>
      <w:proofErr w:type="spellEnd"/>
      <w:r w:rsidRPr="007027FA">
        <w:t xml:space="preserve"> και ενδοκυτταρικών αντιγόνων, όπως αντιπυρηνικά αντισώματα (</w:t>
      </w:r>
      <w:r w:rsidRPr="007027FA">
        <w:rPr>
          <w:lang w:val="en-US"/>
        </w:rPr>
        <w:t>ANA</w:t>
      </w:r>
      <w:r w:rsidRPr="007027FA">
        <w:t xml:space="preserve">), αντισώματα εναντίον δίκλωνου </w:t>
      </w:r>
      <w:r w:rsidRPr="007027FA">
        <w:rPr>
          <w:lang w:val="en-US"/>
        </w:rPr>
        <w:t>DNA</w:t>
      </w:r>
      <w:r w:rsidRPr="007027FA">
        <w:t xml:space="preserve"> (</w:t>
      </w:r>
      <w:proofErr w:type="spellStart"/>
      <w:r w:rsidRPr="007027FA">
        <w:t>αντι</w:t>
      </w:r>
      <w:proofErr w:type="spellEnd"/>
      <w:r w:rsidRPr="007027FA">
        <w:t>-</w:t>
      </w:r>
      <w:r w:rsidRPr="007027FA">
        <w:rPr>
          <w:lang w:val="en-US"/>
        </w:rPr>
        <w:t>dsDNA</w:t>
      </w:r>
      <w:r w:rsidRPr="007027FA">
        <w:t xml:space="preserve">), </w:t>
      </w:r>
      <w:proofErr w:type="spellStart"/>
      <w:r w:rsidRPr="007027FA">
        <w:t>εκχυλίσιμου</w:t>
      </w:r>
      <w:proofErr w:type="spellEnd"/>
      <w:r w:rsidRPr="007027FA">
        <w:t xml:space="preserve"> πυρηνικού αντιγόνου (</w:t>
      </w:r>
      <w:proofErr w:type="spellStart"/>
      <w:r w:rsidRPr="007027FA">
        <w:t>αντι</w:t>
      </w:r>
      <w:proofErr w:type="spellEnd"/>
      <w:r w:rsidRPr="007027FA">
        <w:t xml:space="preserve">-ΕΝΑ), ελαστικών </w:t>
      </w:r>
      <w:proofErr w:type="spellStart"/>
      <w:r w:rsidRPr="007027FA">
        <w:t>υπεροξειδάσης</w:t>
      </w:r>
      <w:proofErr w:type="spellEnd"/>
      <w:r w:rsidRPr="007027FA">
        <w:t xml:space="preserve"> (</w:t>
      </w:r>
      <w:proofErr w:type="spellStart"/>
      <w:r w:rsidRPr="007027FA">
        <w:t>αντι</w:t>
      </w:r>
      <w:proofErr w:type="spellEnd"/>
      <w:r w:rsidRPr="007027FA">
        <w:t>-ΤΡΟ), ελαστικών σφαιρίνης (</w:t>
      </w:r>
      <w:proofErr w:type="spellStart"/>
      <w:r w:rsidRPr="007027FA">
        <w:t>αντι</w:t>
      </w:r>
      <w:proofErr w:type="spellEnd"/>
      <w:r w:rsidRPr="007027FA">
        <w:t>-</w:t>
      </w:r>
      <w:r w:rsidRPr="007027FA">
        <w:rPr>
          <w:lang w:val="en-US"/>
        </w:rPr>
        <w:t>Tg</w:t>
      </w:r>
      <w:r w:rsidRPr="007027FA">
        <w:t xml:space="preserve">), υποδοχέα </w:t>
      </w:r>
      <w:proofErr w:type="spellStart"/>
      <w:r w:rsidRPr="007027FA">
        <w:t>ακετυλοχολίνης</w:t>
      </w:r>
      <w:proofErr w:type="spellEnd"/>
      <w:r w:rsidRPr="007027FA">
        <w:t xml:space="preserve"> (</w:t>
      </w:r>
      <w:r w:rsidRPr="007027FA">
        <w:rPr>
          <w:lang w:val="en-US"/>
        </w:rPr>
        <w:t>AChR</w:t>
      </w:r>
      <w:r w:rsidRPr="007027FA">
        <w:t>-</w:t>
      </w:r>
      <w:r w:rsidRPr="007027FA">
        <w:rPr>
          <w:lang w:val="en-US"/>
        </w:rPr>
        <w:t>Ab</w:t>
      </w:r>
      <w:r w:rsidRPr="007027FA">
        <w:t xml:space="preserve">) και σχετιζόμενη με </w:t>
      </w:r>
      <w:proofErr w:type="spellStart"/>
      <w:r w:rsidRPr="007027FA">
        <w:t>κοιλιοκάκη</w:t>
      </w:r>
      <w:proofErr w:type="spellEnd"/>
      <w:r w:rsidRPr="007027FA">
        <w:t xml:space="preserve"> αντισώματα, όπως τα </w:t>
      </w:r>
      <w:proofErr w:type="spellStart"/>
      <w:r w:rsidRPr="007027FA">
        <w:t>απαμιδιωμένα</w:t>
      </w:r>
      <w:proofErr w:type="spellEnd"/>
      <w:r w:rsidRPr="007027FA">
        <w:t xml:space="preserve"> </w:t>
      </w:r>
      <w:proofErr w:type="spellStart"/>
      <w:r w:rsidRPr="007027FA">
        <w:t>γλιαδίνη</w:t>
      </w:r>
      <w:proofErr w:type="spellEnd"/>
      <w:r w:rsidRPr="007027FA">
        <w:t xml:space="preserve"> και τα αντισώματα </w:t>
      </w:r>
      <w:proofErr w:type="spellStart"/>
      <w:r w:rsidRPr="007027FA">
        <w:t>τρανσγλουταμινάσης</w:t>
      </w:r>
      <w:proofErr w:type="spellEnd"/>
      <w:r w:rsidRPr="007027FA">
        <w:t xml:space="preserve"> ιστού. Άλλα </w:t>
      </w:r>
      <w:proofErr w:type="spellStart"/>
      <w:r w:rsidRPr="007027FA">
        <w:t>αυτοαντισώματα</w:t>
      </w:r>
      <w:proofErr w:type="spellEnd"/>
      <w:r w:rsidRPr="007027FA">
        <w:t xml:space="preserve"> που βρέθηκαν σε ασθενείς με </w:t>
      </w:r>
      <w:r w:rsidRPr="007027FA">
        <w:rPr>
          <w:lang w:val="en-US"/>
        </w:rPr>
        <w:t>NMO</w:t>
      </w:r>
      <w:r w:rsidRPr="007027FA">
        <w:t xml:space="preserve"> είναι </w:t>
      </w:r>
      <w:proofErr w:type="spellStart"/>
      <w:r w:rsidRPr="007027FA">
        <w:t>αντι-μυελίνη</w:t>
      </w:r>
      <w:proofErr w:type="spellEnd"/>
      <w:r w:rsidRPr="007027FA">
        <w:t xml:space="preserve"> </w:t>
      </w:r>
      <w:proofErr w:type="spellStart"/>
      <w:r w:rsidRPr="007027FA">
        <w:t>γλυκοπρωτεΐνη</w:t>
      </w:r>
      <w:proofErr w:type="spellEnd"/>
      <w:r w:rsidRPr="007027FA">
        <w:t xml:space="preserve"> </w:t>
      </w:r>
      <w:proofErr w:type="spellStart"/>
      <w:r w:rsidRPr="007027FA">
        <w:t>ολιγοδενδροκυττάρων</w:t>
      </w:r>
      <w:proofErr w:type="spellEnd"/>
      <w:r w:rsidRPr="007027FA">
        <w:t xml:space="preserve"> (</w:t>
      </w:r>
      <w:proofErr w:type="spellStart"/>
      <w:r w:rsidRPr="007027FA">
        <w:t>αντι</w:t>
      </w:r>
      <w:proofErr w:type="spellEnd"/>
      <w:r w:rsidRPr="007027FA">
        <w:t>-</w:t>
      </w:r>
      <w:r w:rsidRPr="007027FA">
        <w:rPr>
          <w:lang w:val="en-US"/>
        </w:rPr>
        <w:t>MOG</w:t>
      </w:r>
      <w:r w:rsidRPr="007027FA">
        <w:t xml:space="preserve">) και </w:t>
      </w:r>
      <w:r w:rsidRPr="000E28C5">
        <w:t xml:space="preserve">βασική πρωτεΐνη </w:t>
      </w:r>
      <w:proofErr w:type="spellStart"/>
      <w:r w:rsidRPr="000E28C5">
        <w:t>αντι-μυελίνης</w:t>
      </w:r>
      <w:proofErr w:type="spellEnd"/>
      <w:r w:rsidRPr="000E28C5">
        <w:t xml:space="preserve"> </w:t>
      </w:r>
      <w:r w:rsidR="000E28C5" w:rsidRPr="000E28C5">
        <w:t>(</w:t>
      </w:r>
      <w:r w:rsidR="000E28C5" w:rsidRPr="000E28C5">
        <w:rPr>
          <w:lang w:val="en-US"/>
        </w:rPr>
        <w:t>Jarius</w:t>
      </w:r>
      <w:r w:rsidR="000E28C5" w:rsidRPr="000E28C5">
        <w:t xml:space="preserve"> </w:t>
      </w:r>
      <w:r w:rsidR="000E28C5" w:rsidRPr="000E28C5">
        <w:rPr>
          <w:lang w:val="en-US"/>
        </w:rPr>
        <w:t>et</w:t>
      </w:r>
      <w:r w:rsidR="000E28C5" w:rsidRPr="000E28C5">
        <w:t xml:space="preserve"> </w:t>
      </w:r>
      <w:r w:rsidR="000E28C5" w:rsidRPr="000E28C5">
        <w:rPr>
          <w:lang w:val="en-US"/>
        </w:rPr>
        <w:t>al</w:t>
      </w:r>
      <w:r w:rsidR="000E28C5" w:rsidRPr="000E28C5">
        <w:t>., 2012)</w:t>
      </w:r>
      <w:r w:rsidRPr="000E28C5">
        <w:t>.</w:t>
      </w:r>
      <w:r w:rsidR="000E28C5" w:rsidRPr="000E28C5">
        <w:t xml:space="preserve"> </w:t>
      </w:r>
      <w:r w:rsidRPr="000E28C5">
        <w:t>Τέλος, υπάρχουν μερικά ακόμα</w:t>
      </w:r>
      <w:r w:rsidRPr="007027FA">
        <w:t xml:space="preserve"> σύνδρομα τα οποία αναγνωρίστηκε πρόσφατα πως είναι σε συσχέτιση με την </w:t>
      </w:r>
      <w:r w:rsidRPr="007027FA">
        <w:rPr>
          <w:lang w:val="en-US"/>
        </w:rPr>
        <w:t>NMO</w:t>
      </w:r>
      <w:r w:rsidRPr="007027FA">
        <w:t xml:space="preserve">, όπως είναι ο </w:t>
      </w:r>
      <w:r w:rsidRPr="007027FA">
        <w:rPr>
          <w:lang w:val="en-US"/>
        </w:rPr>
        <w:t>opsoclonus</w:t>
      </w:r>
      <w:r w:rsidRPr="007027FA">
        <w:t>-</w:t>
      </w:r>
      <w:r w:rsidRPr="007027FA">
        <w:rPr>
          <w:lang w:val="en-US"/>
        </w:rPr>
        <w:t>myoclonus</w:t>
      </w:r>
      <w:r w:rsidRPr="007027FA">
        <w:t xml:space="preserve">, η γνωστική μείωση, η οξεία μυοπάθεια με </w:t>
      </w:r>
      <w:proofErr w:type="spellStart"/>
      <w:r w:rsidRPr="007027FA">
        <w:t>υπερκαμεμία</w:t>
      </w:r>
      <w:proofErr w:type="spellEnd"/>
      <w:r w:rsidRPr="007027FA">
        <w:t xml:space="preserve">, η απώλεια ακοής και η οσφυϊκή </w:t>
      </w:r>
      <w:proofErr w:type="spellStart"/>
      <w:r w:rsidRPr="007027FA">
        <w:t>μυελοραδικίτιδα</w:t>
      </w:r>
      <w:proofErr w:type="spellEnd"/>
      <w:r w:rsidR="000E28C5" w:rsidRPr="000E28C5">
        <w:t xml:space="preserve"> (</w:t>
      </w:r>
      <w:r w:rsidR="000E28C5">
        <w:rPr>
          <w:lang w:val="en-US"/>
        </w:rPr>
        <w:t>Weinshenker</w:t>
      </w:r>
      <w:r w:rsidR="000E28C5" w:rsidRPr="000E28C5">
        <w:t xml:space="preserve">, 2014). </w:t>
      </w:r>
    </w:p>
    <w:p w:rsidR="00B52C0E" w:rsidRPr="006A7992" w:rsidRDefault="00B52C0E" w:rsidP="00B52C0E">
      <w:r w:rsidRPr="00B52C0E">
        <w:rPr>
          <w:szCs w:val="24"/>
        </w:rPr>
        <w:lastRenderedPageBreak/>
        <w:t>Άλλες κλινικές εκδηλώσεις συμπτωμάτων που μπορεί να προέρχονται από την υποτροπιάζουσα μορφή της ασθένειας, είναι ορισμένα οφθαλμολογικά συμπτώματα όπως ο οφθαλμικός πόνος, διαταραχές της όρασης, αμφίπλευρη ή μονόπλευρη οπτική νευρίτιδα. Ορισμένα νευρολογικά συμπτώματα που μπορεί να συνθέσουν την κλινική εικόνα της οπτικής νευρομυελίτιδας, είναι η δυσλειτουργία του εντέρου και της ουροδόχου κύστης, τετραπληγία ή παραπληγία κ.ά. Είναι δυνατό να εμφανιστούν τα παραπάνω την ίδια στιγμή ή ως μεμονωμένα επεισόδια τα οποία έχουν μεταξύ τους κενό ένα χρονικό διάστημα που μπορεί να είναι από ορισμένες εβδομάδες έως και κάποια χρόνια, κάτι που συνηθίζεται στην υποτροπιάζουσα μορφή της νόσου και συνήθως ακολουθούν σοβαρές υποτροπές. Αντίθετα, στην ταχεία μονοφασική περίπτωση πορείας της νόσου, υπάρχουν ορισμένα διαδοχικά επεισόδια που χαρακτηρίζονται από μέτρια ανάρρωση.</w:t>
      </w:r>
    </w:p>
    <w:p w:rsidR="007027FA" w:rsidRPr="007027FA" w:rsidRDefault="007027FA" w:rsidP="007027FA"/>
    <w:p w:rsidR="00FC5538" w:rsidRPr="00303663" w:rsidRDefault="00A50CA8" w:rsidP="00A50CA8">
      <w:pPr>
        <w:pStyle w:val="2"/>
        <w:rPr>
          <w:color w:val="000000"/>
        </w:rPr>
      </w:pPr>
      <w:bookmarkStart w:id="45" w:name="_Toc57241647"/>
      <w:r>
        <w:rPr>
          <w:color w:val="000000"/>
        </w:rPr>
        <w:t xml:space="preserve">3.6 </w:t>
      </w:r>
      <w:r w:rsidR="00FC5538" w:rsidRPr="00A50CA8">
        <w:rPr>
          <w:color w:val="000000"/>
        </w:rPr>
        <w:t>Διάγνωση</w:t>
      </w:r>
      <w:bookmarkEnd w:id="45"/>
    </w:p>
    <w:p w:rsidR="006A7992" w:rsidRPr="00C5563D" w:rsidRDefault="006A7992" w:rsidP="006A7992">
      <w:pPr>
        <w:rPr>
          <w:szCs w:val="24"/>
        </w:rPr>
      </w:pPr>
      <w:r w:rsidRPr="006A7992">
        <w:rPr>
          <w:szCs w:val="24"/>
        </w:rPr>
        <w:t xml:space="preserve">Τα πρώτα διαγνωστικά κριτήρια για τη </w:t>
      </w:r>
      <w:r w:rsidRPr="006A7992">
        <w:rPr>
          <w:szCs w:val="24"/>
          <w:lang w:val="en-US"/>
        </w:rPr>
        <w:t>NMO</w:t>
      </w:r>
      <w:r w:rsidRPr="006A7992">
        <w:rPr>
          <w:szCs w:val="24"/>
        </w:rPr>
        <w:t xml:space="preserve"> προτάθηκαν το 1999, αλλά αυτά εξετάστηκαν το 2006 και οι συγγραφείς πρότειναν κριτήρια που καταργούν τον περιορισμό της εμπλοκής του ΚΝΣ πέρα από τα οπτικά νεύρα και τη σπονδυλική στήλη και </w:t>
      </w:r>
      <w:proofErr w:type="spellStart"/>
      <w:r w:rsidRPr="006A7992">
        <w:rPr>
          <w:szCs w:val="24"/>
        </w:rPr>
        <w:t>περιελάμβανε</w:t>
      </w:r>
      <w:proofErr w:type="spellEnd"/>
      <w:r w:rsidRPr="006A7992">
        <w:rPr>
          <w:szCs w:val="24"/>
        </w:rPr>
        <w:t xml:space="preserve"> </w:t>
      </w:r>
      <w:proofErr w:type="spellStart"/>
      <w:r w:rsidRPr="006A7992">
        <w:rPr>
          <w:szCs w:val="24"/>
        </w:rPr>
        <w:t>οροθετικότητα</w:t>
      </w:r>
      <w:proofErr w:type="spellEnd"/>
      <w:r w:rsidRPr="006A7992">
        <w:rPr>
          <w:szCs w:val="24"/>
        </w:rPr>
        <w:t xml:space="preserve"> </w:t>
      </w:r>
      <w:proofErr w:type="spellStart"/>
      <w:r w:rsidRPr="006A7992">
        <w:rPr>
          <w:szCs w:val="24"/>
        </w:rPr>
        <w:t>αντι</w:t>
      </w:r>
      <w:proofErr w:type="spellEnd"/>
      <w:r w:rsidRPr="006A7992">
        <w:rPr>
          <w:szCs w:val="24"/>
        </w:rPr>
        <w:t>-</w:t>
      </w:r>
      <w:r w:rsidRPr="006A7992">
        <w:rPr>
          <w:szCs w:val="24"/>
          <w:lang w:val="en-US"/>
        </w:rPr>
        <w:t>AQP</w:t>
      </w:r>
      <w:r w:rsidRPr="006A7992">
        <w:rPr>
          <w:szCs w:val="24"/>
        </w:rPr>
        <w:t xml:space="preserve">4. Τα αναθεωρημένα διαγνωστικά κριτήρια είναι η οξεία μυελίτιδα, η οπτική νευρίτιδα και τουλάχιστον δύο από τα τρία υποστηρικτικά κριτήρια: συνεχής βλάβη </w:t>
      </w:r>
      <w:r w:rsidRPr="006A7992">
        <w:rPr>
          <w:szCs w:val="24"/>
          <w:lang w:val="en-US"/>
        </w:rPr>
        <w:t>MRI</w:t>
      </w:r>
      <w:r w:rsidRPr="006A7992">
        <w:rPr>
          <w:szCs w:val="24"/>
        </w:rPr>
        <w:t xml:space="preserve"> του νωτιαίου μυελού που εκτείνεται πάνω από ≥3 σπονδυλικά τμήματα, εγκεφαλική μαγνητική τομογραφία που δεν </w:t>
      </w:r>
      <w:r w:rsidR="00C5563D" w:rsidRPr="006A7992">
        <w:rPr>
          <w:szCs w:val="24"/>
        </w:rPr>
        <w:t>πληροί</w:t>
      </w:r>
      <w:r w:rsidRPr="006A7992">
        <w:rPr>
          <w:szCs w:val="24"/>
        </w:rPr>
        <w:t xml:space="preserve"> τα διαγνωστικά κριτήρια για </w:t>
      </w:r>
      <w:r w:rsidRPr="006A7992">
        <w:rPr>
          <w:szCs w:val="24"/>
          <w:lang w:val="en-US"/>
        </w:rPr>
        <w:t>MS</w:t>
      </w:r>
      <w:r w:rsidRPr="006A7992">
        <w:rPr>
          <w:szCs w:val="24"/>
        </w:rPr>
        <w:t xml:space="preserve"> και </w:t>
      </w:r>
      <w:proofErr w:type="spellStart"/>
      <w:r w:rsidRPr="006A7992">
        <w:rPr>
          <w:szCs w:val="24"/>
        </w:rPr>
        <w:t>αντι</w:t>
      </w:r>
      <w:proofErr w:type="spellEnd"/>
      <w:r w:rsidRPr="006A7992">
        <w:rPr>
          <w:szCs w:val="24"/>
        </w:rPr>
        <w:t>-</w:t>
      </w:r>
      <w:r w:rsidRPr="006A7992">
        <w:rPr>
          <w:szCs w:val="24"/>
          <w:lang w:val="en-US"/>
        </w:rPr>
        <w:t>QP</w:t>
      </w:r>
      <w:r w:rsidRPr="006A7992">
        <w:rPr>
          <w:szCs w:val="24"/>
        </w:rPr>
        <w:t xml:space="preserve">4 οροθετική </w:t>
      </w:r>
      <w:r w:rsidRPr="008200D1">
        <w:rPr>
          <w:szCs w:val="24"/>
        </w:rPr>
        <w:t>κατάσταση</w:t>
      </w:r>
      <w:r w:rsidR="00C5563D" w:rsidRPr="008200D1">
        <w:rPr>
          <w:szCs w:val="24"/>
        </w:rPr>
        <w:t xml:space="preserve"> (</w:t>
      </w:r>
      <w:r w:rsidR="00C5563D" w:rsidRPr="008200D1">
        <w:rPr>
          <w:lang w:val="en-US"/>
        </w:rPr>
        <w:t>Wingerchuk</w:t>
      </w:r>
      <w:r w:rsidR="00C5563D" w:rsidRPr="008200D1">
        <w:t>,</w:t>
      </w:r>
      <w:r w:rsidR="00C5563D" w:rsidRPr="00C5563D">
        <w:t xml:space="preserve"> </w:t>
      </w:r>
      <w:r w:rsidR="00C5563D" w:rsidRPr="00633F95">
        <w:rPr>
          <w:lang w:val="en-US"/>
        </w:rPr>
        <w:t>Lennon</w:t>
      </w:r>
      <w:r w:rsidR="00C5563D" w:rsidRPr="00C5563D">
        <w:t xml:space="preserve">, </w:t>
      </w:r>
      <w:r w:rsidR="00C5563D" w:rsidRPr="00633F95">
        <w:rPr>
          <w:lang w:val="en-US"/>
        </w:rPr>
        <w:t>Pittock</w:t>
      </w:r>
      <w:r w:rsidR="00C5563D" w:rsidRPr="00C5563D">
        <w:t xml:space="preserve">, </w:t>
      </w:r>
      <w:r w:rsidR="00C5563D" w:rsidRPr="00633F95">
        <w:rPr>
          <w:lang w:val="en-US"/>
        </w:rPr>
        <w:t>Lucchinetti</w:t>
      </w:r>
      <w:r w:rsidR="00C5563D" w:rsidRPr="00C5563D">
        <w:t xml:space="preserve">, </w:t>
      </w:r>
      <w:r w:rsidR="00C5563D" w:rsidRPr="00633F95">
        <w:rPr>
          <w:lang w:val="en-US"/>
        </w:rPr>
        <w:t>Weinshenker</w:t>
      </w:r>
      <w:r w:rsidR="00C5563D" w:rsidRPr="00C5563D">
        <w:t>, 2006).</w:t>
      </w:r>
    </w:p>
    <w:p w:rsidR="006A7992" w:rsidRPr="00FE68A7" w:rsidRDefault="006A7992" w:rsidP="006A7992">
      <w:pPr>
        <w:pStyle w:val="5"/>
        <w:shd w:val="clear" w:color="auto" w:fill="FFFFFF"/>
        <w:spacing w:before="0" w:after="120"/>
        <w:rPr>
          <w:b w:val="0"/>
          <w:bCs w:val="0"/>
          <w:i w:val="0"/>
          <w:iCs w:val="0"/>
          <w:sz w:val="24"/>
          <w:szCs w:val="22"/>
        </w:rPr>
      </w:pPr>
      <w:r w:rsidRPr="00FE68A7">
        <w:rPr>
          <w:b w:val="0"/>
          <w:bCs w:val="0"/>
          <w:i w:val="0"/>
          <w:iCs w:val="0"/>
          <w:sz w:val="24"/>
          <w:szCs w:val="22"/>
        </w:rPr>
        <w:t>Ορισμένες ενδείξεις για έλεγχο</w:t>
      </w:r>
      <w:r>
        <w:rPr>
          <w:b w:val="0"/>
          <w:bCs w:val="0"/>
          <w:i w:val="0"/>
          <w:iCs w:val="0"/>
          <w:sz w:val="24"/>
          <w:szCs w:val="22"/>
        </w:rPr>
        <w:t xml:space="preserve"> είναι η εμφάνιση οξείας μυελίτιδας, οπτική νευρίτιδα και η υποψία ΠΣ που φέρει συμπτωματολογία από το ΚΝΣ. Μείζονα κριτήρια είναι η παρουσία οξείας μυελίτιδας, η ύπαρξη οπτική νευρίτιδα και η εμφάνιση τουλάχιστον δύο εκ των ελασσόνων κριτηρίων που είναι: α) ευρήματα σε </w:t>
      </w:r>
      <w:r w:rsidRPr="00ED04D5">
        <w:rPr>
          <w:b w:val="0"/>
          <w:bCs w:val="0"/>
          <w:i w:val="0"/>
          <w:iCs w:val="0"/>
          <w:sz w:val="24"/>
          <w:szCs w:val="22"/>
        </w:rPr>
        <w:t>MRI</w:t>
      </w:r>
      <w:r>
        <w:rPr>
          <w:b w:val="0"/>
          <w:bCs w:val="0"/>
          <w:i w:val="0"/>
          <w:iCs w:val="0"/>
          <w:sz w:val="24"/>
          <w:szCs w:val="22"/>
        </w:rPr>
        <w:t xml:space="preserve"> τα οποία δεν είναι συμβατά με ΠΣ, β) βλάβες που είναι ορατές μέσω </w:t>
      </w:r>
      <w:r>
        <w:rPr>
          <w:b w:val="0"/>
          <w:bCs w:val="0"/>
          <w:i w:val="0"/>
          <w:iCs w:val="0"/>
          <w:sz w:val="24"/>
          <w:szCs w:val="22"/>
          <w:lang w:val="en-US"/>
        </w:rPr>
        <w:t>MRI</w:t>
      </w:r>
      <w:r>
        <w:rPr>
          <w:b w:val="0"/>
          <w:bCs w:val="0"/>
          <w:i w:val="0"/>
          <w:iCs w:val="0"/>
          <w:sz w:val="24"/>
          <w:szCs w:val="22"/>
        </w:rPr>
        <w:t xml:space="preserve"> και συνεχόμενες σε νωτιαίο μυελό με επέκταση σε σπονδυλικά τμήματα που είναι &gt;3 και τέλος γ) αντισώματα θετικά έναντι </w:t>
      </w:r>
      <w:r w:rsidRPr="00ED04D5">
        <w:rPr>
          <w:b w:val="0"/>
          <w:bCs w:val="0"/>
          <w:i w:val="0"/>
          <w:iCs w:val="0"/>
          <w:sz w:val="24"/>
          <w:szCs w:val="22"/>
        </w:rPr>
        <w:t>AQP4</w:t>
      </w:r>
      <w:r>
        <w:rPr>
          <w:b w:val="0"/>
          <w:bCs w:val="0"/>
          <w:i w:val="0"/>
          <w:iCs w:val="0"/>
          <w:sz w:val="24"/>
          <w:szCs w:val="22"/>
        </w:rPr>
        <w:t xml:space="preserve"> τα οποία βρίσκονται σε ποσοστό 70% σε ασθενείς που εμφανίζουν οπτική νευρομυελίτιδα. </w:t>
      </w:r>
    </w:p>
    <w:p w:rsidR="006A7992" w:rsidRPr="006A7992" w:rsidRDefault="006A7992" w:rsidP="006A7992"/>
    <w:p w:rsidR="00FC5538" w:rsidRPr="00A50CA8" w:rsidRDefault="00C66321" w:rsidP="00A50CA8">
      <w:pPr>
        <w:pStyle w:val="2"/>
        <w:rPr>
          <w:color w:val="000000"/>
        </w:rPr>
      </w:pPr>
      <w:bookmarkStart w:id="46" w:name="_Toc57241648"/>
      <w:r>
        <w:rPr>
          <w:color w:val="000000"/>
        </w:rPr>
        <w:lastRenderedPageBreak/>
        <w:t>3.</w:t>
      </w:r>
      <w:r w:rsidRPr="00C66321">
        <w:rPr>
          <w:color w:val="000000"/>
        </w:rPr>
        <w:t>7</w:t>
      </w:r>
      <w:r w:rsidR="00A50CA8">
        <w:rPr>
          <w:color w:val="000000"/>
        </w:rPr>
        <w:t xml:space="preserve"> Θεραπευτική αντιμετώπιση</w:t>
      </w:r>
      <w:bookmarkEnd w:id="46"/>
    </w:p>
    <w:p w:rsidR="00D47758" w:rsidRDefault="00A50CA8" w:rsidP="00D47758">
      <w:pPr>
        <w:pStyle w:val="3"/>
      </w:pPr>
      <w:bookmarkStart w:id="47" w:name="_Toc57241649"/>
      <w:r>
        <w:t>3.</w:t>
      </w:r>
      <w:r w:rsidR="00C66321" w:rsidRPr="00C66321">
        <w:t>7</w:t>
      </w:r>
      <w:r>
        <w:t xml:space="preserve">.1 </w:t>
      </w:r>
      <w:r w:rsidR="00D47758">
        <w:t>Θ</w:t>
      </w:r>
      <w:r w:rsidR="00D47758" w:rsidRPr="00F923AF">
        <w:t>εραπευτικές αγωγές της οπτικής νευρομυελίτιδας</w:t>
      </w:r>
      <w:bookmarkEnd w:id="47"/>
      <w:r w:rsidR="00D47758" w:rsidRPr="00F923AF">
        <w:t xml:space="preserve"> </w:t>
      </w:r>
    </w:p>
    <w:p w:rsidR="00D47758" w:rsidRDefault="00D47758" w:rsidP="00D47758">
      <w:r w:rsidRPr="00FD33D3">
        <w:t xml:space="preserve">Η θεραπεία για τις διαταραχές του φάσματος της οπτικής νευρομυελίτιδας εστιάζεται στη διαχείριση των συμπτωμάτων και στην πρόληψη υποτροπών. Μπορούν να χρησιμοποιηθούν </w:t>
      </w:r>
      <w:proofErr w:type="spellStart"/>
      <w:r w:rsidRPr="00FD33D3">
        <w:t>στεροειδή</w:t>
      </w:r>
      <w:proofErr w:type="spellEnd"/>
      <w:r w:rsidRPr="00FD33D3">
        <w:t xml:space="preserve"> φάρμακα σε υψηλές δόσεις τα οποία καταστέλλουν το ανοσοποιητικό σύστημα καθώς επίσης μπορούν παράλληλα να χρησιμοποιηθούν και φάρμακα για τον πόνο</w:t>
      </w:r>
      <w:r>
        <w:t xml:space="preserve"> (</w:t>
      </w:r>
      <w:proofErr w:type="spellStart"/>
      <w:r w:rsidRPr="00764035">
        <w:t>Wu</w:t>
      </w:r>
      <w:proofErr w:type="spellEnd"/>
      <w:r w:rsidRPr="00764035">
        <w:t xml:space="preserve">, </w:t>
      </w:r>
      <w:proofErr w:type="spellStart"/>
      <w:r w:rsidRPr="00764035">
        <w:t>Zhong</w:t>
      </w:r>
      <w:proofErr w:type="spellEnd"/>
      <w:r>
        <w:t xml:space="preserve"> </w:t>
      </w:r>
      <w:r w:rsidRPr="00764035">
        <w:t xml:space="preserve">&amp; </w:t>
      </w:r>
      <w:proofErr w:type="spellStart"/>
      <w:r w:rsidRPr="00764035">
        <w:t>Geng</w:t>
      </w:r>
      <w:proofErr w:type="spellEnd"/>
      <w:r w:rsidRPr="00764035">
        <w:t>,</w:t>
      </w:r>
      <w:r>
        <w:t xml:space="preserve"> </w:t>
      </w:r>
      <w:r w:rsidRPr="00764035">
        <w:t>2019)</w:t>
      </w:r>
      <w:r w:rsidRPr="00FD33D3">
        <w:t xml:space="preserve">. Μπορεί επίσης να χρησιμοποιηθεί όταν τα συμπτώματα είναι πολύ σοβαρά η </w:t>
      </w:r>
      <w:proofErr w:type="spellStart"/>
      <w:r w:rsidRPr="00FD33D3">
        <w:t>πλασμαφαίρεση</w:t>
      </w:r>
      <w:proofErr w:type="spellEnd"/>
      <w:r w:rsidRPr="00FD33D3">
        <w:t xml:space="preserve"> που είναι η διαδικασία</w:t>
      </w:r>
      <w:r>
        <w:t xml:space="preserve"> κατά την οποία με την χρήση της συσκευής του διαχωριστή κυττάρων, αφαιρείται </w:t>
      </w:r>
      <w:r w:rsidRPr="00263F6A">
        <w:t>από το αίμα το πλάσμα</w:t>
      </w:r>
      <w:r>
        <w:t xml:space="preserve">, δηλαδή το ρευστό αιματολογικό συστατικό, οπότε αφαιρούνται τα </w:t>
      </w:r>
      <w:proofErr w:type="spellStart"/>
      <w:r>
        <w:t>κυκλοφορούντα</w:t>
      </w:r>
      <w:proofErr w:type="spellEnd"/>
      <w:r>
        <w:t xml:space="preserve"> αντισώματα (</w:t>
      </w:r>
      <w:proofErr w:type="spellStart"/>
      <w:r w:rsidRPr="000666F7">
        <w:t>Bruscolini</w:t>
      </w:r>
      <w:proofErr w:type="spellEnd"/>
      <w:r w:rsidRPr="000666F7">
        <w:t xml:space="preserve">, </w:t>
      </w:r>
      <w:proofErr w:type="spellStart"/>
      <w:r w:rsidRPr="000666F7">
        <w:t>Saccetti</w:t>
      </w:r>
      <w:proofErr w:type="spellEnd"/>
      <w:r w:rsidRPr="000666F7">
        <w:t xml:space="preserve">, </w:t>
      </w:r>
      <w:proofErr w:type="spellStart"/>
      <w:r w:rsidRPr="000666F7">
        <w:t>La</w:t>
      </w:r>
      <w:proofErr w:type="spellEnd"/>
      <w:r w:rsidRPr="000666F7">
        <w:t xml:space="preserve"> </w:t>
      </w:r>
      <w:proofErr w:type="spellStart"/>
      <w:r w:rsidRPr="000666F7">
        <w:t>Cava</w:t>
      </w:r>
      <w:proofErr w:type="spellEnd"/>
      <w:r>
        <w:t xml:space="preserve"> </w:t>
      </w:r>
      <w:proofErr w:type="spellStart"/>
      <w:r w:rsidRPr="000666F7">
        <w:t>et</w:t>
      </w:r>
      <w:proofErr w:type="spellEnd"/>
      <w:r w:rsidRPr="000666F7">
        <w:t xml:space="preserve"> </w:t>
      </w:r>
      <w:proofErr w:type="spellStart"/>
      <w:r w:rsidRPr="000666F7">
        <w:t>al</w:t>
      </w:r>
      <w:proofErr w:type="spellEnd"/>
      <w:r>
        <w:t xml:space="preserve">., </w:t>
      </w:r>
      <w:r w:rsidRPr="000666F7">
        <w:t>2018).</w:t>
      </w:r>
    </w:p>
    <w:p w:rsidR="00D47758" w:rsidRDefault="00D47758" w:rsidP="00D47758">
      <w:r w:rsidRPr="00263F6A">
        <w:t xml:space="preserve">Οι ειδικοί </w:t>
      </w:r>
      <w:r>
        <w:t>οι οποίοι</w:t>
      </w:r>
      <w:r w:rsidRPr="00263F6A">
        <w:t xml:space="preserve"> εμπλέκονται στη</w:t>
      </w:r>
      <w:r>
        <w:t xml:space="preserve"> διαδικασία της</w:t>
      </w:r>
      <w:r w:rsidRPr="00263F6A">
        <w:t xml:space="preserve"> φροντίδα</w:t>
      </w:r>
      <w:r>
        <w:t>ς</w:t>
      </w:r>
      <w:r w:rsidRPr="00263F6A">
        <w:t xml:space="preserve"> </w:t>
      </w:r>
      <w:r>
        <w:t>των ατόμων</w:t>
      </w:r>
      <w:r w:rsidRPr="00263F6A">
        <w:t xml:space="preserve"> με </w:t>
      </w:r>
      <w:r>
        <w:t xml:space="preserve">οπτική </w:t>
      </w:r>
      <w:r w:rsidRPr="00263F6A">
        <w:t>νευρομυελίτιδα</w:t>
      </w:r>
      <w:r>
        <w:t xml:space="preserve"> είναι οι οφθαλμίατροι, οι νευρολόγοι, οι φυσιοθεραπευτές και οι </w:t>
      </w:r>
      <w:proofErr w:type="spellStart"/>
      <w:r>
        <w:t>εργοθεραπευτές</w:t>
      </w:r>
      <w:proofErr w:type="spellEnd"/>
      <w:r>
        <w:t xml:space="preserve">. </w:t>
      </w:r>
    </w:p>
    <w:p w:rsidR="00D47758" w:rsidRDefault="00D47758" w:rsidP="00D47758">
      <w:r>
        <w:t>Υπάρχουν ορισμένα</w:t>
      </w:r>
      <w:r w:rsidRPr="00263F6A">
        <w:t xml:space="preserve"> φάρμακα </w:t>
      </w:r>
      <w:r>
        <w:t xml:space="preserve">τα οποία έχουν εγκριθεί από </w:t>
      </w:r>
      <w:r w:rsidRPr="00263F6A">
        <w:t xml:space="preserve">την Υπηρεσία Τροφίμων και Φαρμάκων </w:t>
      </w:r>
      <w:r>
        <w:t xml:space="preserve">ή αλλιώς </w:t>
      </w:r>
      <w:r w:rsidRPr="00263F6A">
        <w:t xml:space="preserve">“FDA” </w:t>
      </w:r>
      <w:r>
        <w:t>και μπορούν να χρησιμοποιηθούν ως ενδεδειγμένες θεραπευτικές αγωγές</w:t>
      </w:r>
      <w:r w:rsidRPr="007A55D6">
        <w:t xml:space="preserve">. </w:t>
      </w:r>
      <w:r>
        <w:t>Είναι γνωστά με την ονομασία «</w:t>
      </w:r>
      <w:r w:rsidRPr="00263F6A">
        <w:t xml:space="preserve">ορφανά </w:t>
      </w:r>
      <w:r>
        <w:t xml:space="preserve">φάρμακα» και ο λόγος είναι ότι γίνεται μεν η χρήση αυτών σε περιπτώσεις σπάνιων παθήσεων, ωστόσο εξαιτίας του γεγονότος αυτού, δηλαδή ότι αναφέρονται μόνο σε μικρό πληθυσμό, οι φαρμακοβιομηχανίες διστάζουν να τα αναπτύξουν σε μεγαλύτερο βαθμό για οικονομικούς λόγους. Το αποτέλεσμα είναι οι σπόνσορες και οι φαρμακευτικές εταιρίες να μην μπορούν να παράγουν και να διαθέτουν τέτοιου είδους σκευάσματα μαζικά, οπότε να μην υιοθετούνται και να μην συμπεριλαμβάνονται καν τις περισσότερες φορές σε ερευνητικά προγράμματα. Γενικότερα η πορεία ενός τέτοιου είδους φαρμάκου οικονομικά κοστίζει πολλές χιλιάδες ευρώ και χρονικά από την στιγμή που θα δημιουργηθεί μέχρι την στιγμή που θα διατεθεί στην εμπορία είναι περίπου 10 έτη. Το αρχικό κεφάλαιο που έχει διατεθεί δεν ανακτάται και έτσι για οικονομικούς λόγους πολλές εταιρίες διστάζουν να ασχοληθούν με την δημιουργία τέτοιων φαρμάκων. Επιπρόσθετα, η θεραπευτική του αξία μπορεί συνήθως μόνο μερικώς να καλύψει τις υπάρχουσες ανάγκες, ωστόσο είναι απαραίτητο γιατί μόνο αυτά μπορούν έστω και μερικώς να ανταποκριθούν στις εξειδικευμένες ανάγκες που μπορεί να εμφανιστούν στην δημόσια υγεία.    </w:t>
      </w:r>
    </w:p>
    <w:p w:rsidR="00D47758" w:rsidRDefault="00D47758" w:rsidP="00D47758">
      <w:r>
        <w:t>Συγκεκριμένα ως ε</w:t>
      </w:r>
      <w:r w:rsidRPr="0010697E">
        <w:t xml:space="preserve">γκεκριμένες θεραπείες από την FDA </w:t>
      </w:r>
      <w:r>
        <w:t>για την εν λόγω πάθηση είναι τα εξής (</w:t>
      </w:r>
      <w:proofErr w:type="spellStart"/>
      <w:r w:rsidRPr="00764035">
        <w:t>Wu</w:t>
      </w:r>
      <w:proofErr w:type="spellEnd"/>
      <w:r w:rsidRPr="00764035">
        <w:t xml:space="preserve">, </w:t>
      </w:r>
      <w:proofErr w:type="spellStart"/>
      <w:r w:rsidRPr="00764035">
        <w:t>Zhong</w:t>
      </w:r>
      <w:proofErr w:type="spellEnd"/>
      <w:r>
        <w:t xml:space="preserve"> </w:t>
      </w:r>
      <w:r w:rsidRPr="00764035">
        <w:t xml:space="preserve">&amp; </w:t>
      </w:r>
      <w:proofErr w:type="spellStart"/>
      <w:r w:rsidRPr="00764035">
        <w:t>Geng</w:t>
      </w:r>
      <w:proofErr w:type="spellEnd"/>
      <w:r w:rsidRPr="00764035">
        <w:t>,</w:t>
      </w:r>
      <w:r>
        <w:t xml:space="preserve"> </w:t>
      </w:r>
      <w:r w:rsidRPr="00764035">
        <w:t>2019)</w:t>
      </w:r>
      <w:r>
        <w:t>:</w:t>
      </w:r>
    </w:p>
    <w:p w:rsidR="00D47758" w:rsidRPr="00BB5801" w:rsidRDefault="00D47758" w:rsidP="00D47758">
      <w:pPr>
        <w:rPr>
          <w:rFonts w:ascii="Verdana" w:hAnsi="Verdana"/>
          <w:color w:val="333333"/>
          <w:sz w:val="16"/>
          <w:szCs w:val="16"/>
        </w:rPr>
      </w:pPr>
      <w:r>
        <w:lastRenderedPageBreak/>
        <w:t xml:space="preserve">1. </w:t>
      </w:r>
      <w:proofErr w:type="spellStart"/>
      <w:r w:rsidRPr="0010697E">
        <w:t>Satralizumab</w:t>
      </w:r>
      <w:proofErr w:type="spellEnd"/>
      <w:r w:rsidRPr="0010697E">
        <w:t xml:space="preserve"> (επωνυμία: </w:t>
      </w:r>
      <w:proofErr w:type="spellStart"/>
      <w:r w:rsidRPr="0010697E">
        <w:t>Enspryng</w:t>
      </w:r>
      <w:proofErr w:type="spellEnd"/>
      <w:r w:rsidRPr="0010697E">
        <w:t xml:space="preserve">) - Κατασκευάζεται από την </w:t>
      </w:r>
      <w:proofErr w:type="spellStart"/>
      <w:r w:rsidRPr="0010697E">
        <w:t>Genentech</w:t>
      </w:r>
      <w:proofErr w:type="spellEnd"/>
      <w:r>
        <w:t xml:space="preserve">. </w:t>
      </w:r>
      <w:r w:rsidRPr="0010697E">
        <w:t xml:space="preserve">Ένδειξη εγκεκριμένη από τον FDA: Το </w:t>
      </w:r>
      <w:proofErr w:type="spellStart"/>
      <w:r w:rsidRPr="0010697E">
        <w:t>Enspryng</w:t>
      </w:r>
      <w:proofErr w:type="spellEnd"/>
      <w:r w:rsidRPr="0010697E">
        <w:t xml:space="preserve"> ενδείκνυται για τη θεραπεία της διαταραχής του φάσματος της </w:t>
      </w:r>
      <w:r>
        <w:t xml:space="preserve">οπτικής </w:t>
      </w:r>
      <w:r w:rsidRPr="0010697E">
        <w:t xml:space="preserve">νευρομυελίτιδας σε ενήλικες ασθενείς που είναι θετικοί στο αντίσωμα κατά της </w:t>
      </w:r>
      <w:proofErr w:type="spellStart"/>
      <w:r w:rsidRPr="0010697E">
        <w:t>ενυαπορίνης</w:t>
      </w:r>
      <w:proofErr w:type="spellEnd"/>
      <w:r w:rsidRPr="0010697E">
        <w:t>-</w:t>
      </w:r>
      <w:r>
        <w:t xml:space="preserve"> </w:t>
      </w:r>
      <w:r w:rsidRPr="0010697E">
        <w:t>4 (AQP4</w:t>
      </w:r>
      <w:r>
        <w:t>).</w:t>
      </w:r>
    </w:p>
    <w:p w:rsidR="00D47758" w:rsidRDefault="00D47758" w:rsidP="00D47758">
      <w:pPr>
        <w:rPr>
          <w:rFonts w:ascii="Verdana" w:hAnsi="Verdana"/>
          <w:color w:val="333333"/>
          <w:sz w:val="16"/>
          <w:szCs w:val="16"/>
        </w:rPr>
      </w:pPr>
      <w:r w:rsidRPr="001F0C00">
        <w:t xml:space="preserve">2. </w:t>
      </w:r>
      <w:proofErr w:type="spellStart"/>
      <w:r w:rsidRPr="001F0C00">
        <w:t>Eculizumab</w:t>
      </w:r>
      <w:proofErr w:type="spellEnd"/>
      <w:r w:rsidRPr="001F0C00">
        <w:t xml:space="preserve"> (επωνυμία: </w:t>
      </w:r>
      <w:proofErr w:type="spellStart"/>
      <w:r w:rsidRPr="001F0C00">
        <w:t>Soliris</w:t>
      </w:r>
      <w:proofErr w:type="spellEnd"/>
      <w:r w:rsidRPr="001F0C00">
        <w:t xml:space="preserve">) - Κατασκευάστηκε από την </w:t>
      </w:r>
      <w:proofErr w:type="spellStart"/>
      <w:r w:rsidRPr="001F0C00">
        <w:t>Alexion</w:t>
      </w:r>
      <w:proofErr w:type="spellEnd"/>
      <w:r w:rsidRPr="001F0C00">
        <w:t xml:space="preserve"> </w:t>
      </w:r>
      <w:proofErr w:type="spellStart"/>
      <w:r w:rsidRPr="001F0C00">
        <w:t>Pharmaceuticals</w:t>
      </w:r>
      <w:proofErr w:type="spellEnd"/>
      <w:r w:rsidRPr="001F0C00">
        <w:t xml:space="preserve">, Inc. Ένδειξη εγκεκριμένη από την FDA: Ιούνιος 2019, το </w:t>
      </w:r>
      <w:proofErr w:type="spellStart"/>
      <w:r w:rsidRPr="001F0C00">
        <w:t>eculizumab</w:t>
      </w:r>
      <w:proofErr w:type="spellEnd"/>
      <w:r w:rsidRPr="001F0C00">
        <w:t xml:space="preserve"> (</w:t>
      </w:r>
      <w:proofErr w:type="spellStart"/>
      <w:r w:rsidRPr="001F0C00">
        <w:t>Soliris</w:t>
      </w:r>
      <w:proofErr w:type="spellEnd"/>
      <w:r w:rsidRPr="001F0C00">
        <w:t xml:space="preserve">) εγκρίθηκε για τη θεραπεία της διαταραχής φάσματος οπτικής νευρομυελίτιδας σε ενήλικες ασθενείς που είναι </w:t>
      </w:r>
      <w:r>
        <w:t>θετικοί στο</w:t>
      </w:r>
      <w:r w:rsidRPr="001F0C00">
        <w:t xml:space="preserve"> αντίσωμα </w:t>
      </w:r>
      <w:proofErr w:type="spellStart"/>
      <w:r w:rsidRPr="001F0C00">
        <w:t>αντι-ενυαπορίνη</w:t>
      </w:r>
      <w:proofErr w:type="spellEnd"/>
      <w:r w:rsidRPr="001F0C00">
        <w:t>-</w:t>
      </w:r>
      <w:r>
        <w:t xml:space="preserve"> </w:t>
      </w:r>
      <w:r w:rsidRPr="001F0C00">
        <w:t>4 (AQP4).</w:t>
      </w:r>
      <w:r>
        <w:t xml:space="preserve"> </w:t>
      </w:r>
    </w:p>
    <w:p w:rsidR="00D47758" w:rsidRPr="006E043C" w:rsidRDefault="00D47758" w:rsidP="00D47758">
      <w:pPr>
        <w:rPr>
          <w:rFonts w:ascii="Verdana" w:hAnsi="Verdana"/>
          <w:color w:val="333333"/>
          <w:sz w:val="16"/>
          <w:szCs w:val="16"/>
        </w:rPr>
      </w:pPr>
      <w:r w:rsidRPr="001F0C00">
        <w:t>3.</w:t>
      </w:r>
      <w:r>
        <w:t xml:space="preserve"> </w:t>
      </w:r>
      <w:proofErr w:type="spellStart"/>
      <w:r w:rsidRPr="001F0C00">
        <w:t>Inebilizumab</w:t>
      </w:r>
      <w:proofErr w:type="spellEnd"/>
      <w:r w:rsidRPr="001F0C00">
        <w:t xml:space="preserve"> (επωνυμία: </w:t>
      </w:r>
      <w:proofErr w:type="spellStart"/>
      <w:r w:rsidRPr="001F0C00">
        <w:t>Uplizna</w:t>
      </w:r>
      <w:proofErr w:type="spellEnd"/>
      <w:r w:rsidRPr="001F0C00">
        <w:t xml:space="preserve">) - Κατασκευάζεται από τη </w:t>
      </w:r>
      <w:proofErr w:type="spellStart"/>
      <w:r w:rsidRPr="001F0C00">
        <w:t>Viela</w:t>
      </w:r>
      <w:proofErr w:type="spellEnd"/>
      <w:r w:rsidRPr="001F0C00">
        <w:t xml:space="preserve"> </w:t>
      </w:r>
      <w:proofErr w:type="spellStart"/>
      <w:r w:rsidRPr="001F0C00">
        <w:t>Bio</w:t>
      </w:r>
      <w:proofErr w:type="spellEnd"/>
      <w:r>
        <w:t xml:space="preserve">. </w:t>
      </w:r>
      <w:r w:rsidRPr="001F0C00">
        <w:t xml:space="preserve">Ένδειξη εγκεκριμένη από τον FDA: Το </w:t>
      </w:r>
      <w:proofErr w:type="spellStart"/>
      <w:r w:rsidRPr="001F0C00">
        <w:t>Uplizna</w:t>
      </w:r>
      <w:proofErr w:type="spellEnd"/>
      <w:r w:rsidRPr="001F0C00">
        <w:t xml:space="preserve"> ενδείκνυται για τη θεραπεία της διαταραχής του φάσματος της </w:t>
      </w:r>
      <w:r>
        <w:t>οπτικής</w:t>
      </w:r>
      <w:r w:rsidRPr="001F0C00">
        <w:t xml:space="preserve"> νευρομυελίτιδας (NMOSD) σε ενήλικες ασθενείς που είναι θετικοί στο αντίσωμα κατά της ενυαπορίνης-4 (AQP4).</w:t>
      </w:r>
      <w:r>
        <w:t xml:space="preserve"> </w:t>
      </w:r>
    </w:p>
    <w:p w:rsidR="00D47758" w:rsidRDefault="00D47758" w:rsidP="00D47758">
      <w:r>
        <w:t>Κατά τη</w:t>
      </w:r>
      <w:r w:rsidRPr="00137644">
        <w:t xml:space="preserve"> θε</w:t>
      </w:r>
      <w:r>
        <w:t xml:space="preserve">ραπεία της οξείας υποτροπής της οπτικής νευρομυελίτιδας, </w:t>
      </w:r>
      <w:r w:rsidRPr="00137644">
        <w:t>αντικατοπτρίζε</w:t>
      </w:r>
      <w:r>
        <w:t>ται</w:t>
      </w:r>
      <w:r w:rsidRPr="00137644">
        <w:t xml:space="preserve"> ότι</w:t>
      </w:r>
      <w:r>
        <w:t xml:space="preserve"> ακριβώς συμβαίνει και στην περίπτωση</w:t>
      </w:r>
      <w:r w:rsidRPr="00137644">
        <w:t xml:space="preserve"> τη</w:t>
      </w:r>
      <w:r>
        <w:t>ς</w:t>
      </w:r>
      <w:r w:rsidRPr="00137644">
        <w:t xml:space="preserve"> σκλήρυνση</w:t>
      </w:r>
      <w:r>
        <w:t xml:space="preserve">ς κατά πλάκας, όπου χορηγούνται </w:t>
      </w:r>
      <w:proofErr w:type="spellStart"/>
      <w:r w:rsidRPr="00137644">
        <w:t>κορτικοστεροειδή</w:t>
      </w:r>
      <w:proofErr w:type="spellEnd"/>
      <w:r w:rsidRPr="00137644">
        <w:t xml:space="preserve"> υψηλής δόσης και </w:t>
      </w:r>
      <w:r>
        <w:t xml:space="preserve">δύναται στις σοβαρές υποτροπές ο θεράποντας να προβεί σε απόφαση για </w:t>
      </w:r>
      <w:proofErr w:type="spellStart"/>
      <w:r>
        <w:t>πλασμαφαίρεση</w:t>
      </w:r>
      <w:proofErr w:type="spellEnd"/>
      <w:r>
        <w:t xml:space="preserve"> του ασθενούς.</w:t>
      </w:r>
      <w:r w:rsidRPr="00137644">
        <w:t xml:space="preserve"> </w:t>
      </w:r>
      <w:r>
        <w:t>Αρκετές</w:t>
      </w:r>
      <w:r w:rsidRPr="00137644">
        <w:t xml:space="preserve"> θεραπείες </w:t>
      </w:r>
      <w:r>
        <w:t>οι οποίες</w:t>
      </w:r>
      <w:r w:rsidRPr="00137644">
        <w:t xml:space="preserve"> χρησιμοποιήθηκαν για την πρόληψη των προσβολών της σκλήρυνσης κατά πλάκας ήταν</w:t>
      </w:r>
      <w:r>
        <w:t xml:space="preserve"> σε ορισμένες περιπτώσεις αναποτελεσματικές ή στην περίπτωση της οπτικής νευρομυελίτιδας</w:t>
      </w:r>
      <w:r w:rsidRPr="00137644">
        <w:t xml:space="preserve"> επιβλαβείς. Η μελέτη ανοσοθεραπειών </w:t>
      </w:r>
      <w:r>
        <w:t xml:space="preserve">που έχει ως </w:t>
      </w:r>
      <w:r w:rsidRPr="00137644">
        <w:t xml:space="preserve">στόχο την πρόληψη </w:t>
      </w:r>
      <w:r>
        <w:t xml:space="preserve">των νέων υποτροπών στη οπτική νευρομυελίτιδα, χρειάζεται να συμβαδίζει με τα δεδομένα που προκύπτουν </w:t>
      </w:r>
      <w:proofErr w:type="spellStart"/>
      <w:r>
        <w:t>ανασκοπικά</w:t>
      </w:r>
      <w:proofErr w:type="spellEnd"/>
      <w:r>
        <w:t xml:space="preserve"> από την παρατήρηση, καθώς και η</w:t>
      </w:r>
      <w:r w:rsidRPr="00137644">
        <w:t xml:space="preserve"> θεραπεία </w:t>
      </w:r>
      <w:r>
        <w:t xml:space="preserve">επίσης </w:t>
      </w:r>
      <w:r w:rsidRPr="00137644">
        <w:t xml:space="preserve"> </w:t>
      </w:r>
      <w:r>
        <w:t>προκύπτει από τα προαναφερθέντα δεδομένα, ωστόσο δύναται να</w:t>
      </w:r>
      <w:r w:rsidRPr="00137644">
        <w:t xml:space="preserve"> επηρεά</w:t>
      </w:r>
      <w:r>
        <w:t>ζεται σε σημαντικό βαθμό και από το κόστος και τ</w:t>
      </w:r>
      <w:r w:rsidRPr="00137644">
        <w:t xml:space="preserve">η διαθεσιμότητα </w:t>
      </w:r>
      <w:r>
        <w:t>των</w:t>
      </w:r>
      <w:r w:rsidRPr="00137644">
        <w:t xml:space="preserve"> φαρμάκων, τις </w:t>
      </w:r>
      <w:r>
        <w:t xml:space="preserve">προτιμήσεις των ιατρών και των ασθενών, τις </w:t>
      </w:r>
      <w:r w:rsidRPr="00137644">
        <w:t xml:space="preserve">ιατρικές </w:t>
      </w:r>
      <w:proofErr w:type="spellStart"/>
      <w:r w:rsidRPr="00137644">
        <w:t>συννοσηρότητες</w:t>
      </w:r>
      <w:proofErr w:type="spellEnd"/>
      <w:r w:rsidRPr="00137644">
        <w:t xml:space="preserve"> </w:t>
      </w:r>
      <w:r>
        <w:t>και άλλες μεταβλητές</w:t>
      </w:r>
      <w:r w:rsidRPr="00137644">
        <w:t xml:space="preserve">. </w:t>
      </w:r>
    </w:p>
    <w:p w:rsidR="00D47758" w:rsidRDefault="00D47758" w:rsidP="00D47758">
      <w:r>
        <w:t xml:space="preserve">Εντός των νέων προληπτικών θεραπειών εντάσσονται και ορισμένα ακόμη φάρμακα τα οποία </w:t>
      </w:r>
      <w:r w:rsidRPr="00137644">
        <w:t xml:space="preserve">χρησιμοποιούνται </w:t>
      </w:r>
      <w:r>
        <w:t xml:space="preserve">υπό συνθήκες και έπειτα από πολυετή παρατήρηση και </w:t>
      </w:r>
      <w:r w:rsidRPr="00137644">
        <w:t xml:space="preserve">συνήθως </w:t>
      </w:r>
      <w:r>
        <w:t>είναι</w:t>
      </w:r>
      <w:r w:rsidRPr="00137644">
        <w:t xml:space="preserve"> το </w:t>
      </w:r>
      <w:proofErr w:type="spellStart"/>
      <w:r w:rsidRPr="00137644">
        <w:t>rituximab</w:t>
      </w:r>
      <w:proofErr w:type="spellEnd"/>
      <w:r w:rsidRPr="00137644">
        <w:t xml:space="preserve">, το </w:t>
      </w:r>
      <w:proofErr w:type="spellStart"/>
      <w:r w:rsidRPr="00137644">
        <w:t>mycophenolate</w:t>
      </w:r>
      <w:proofErr w:type="spellEnd"/>
      <w:r w:rsidRPr="00137644">
        <w:t xml:space="preserve"> </w:t>
      </w:r>
      <w:proofErr w:type="spellStart"/>
      <w:r w:rsidRPr="00137644">
        <w:t>mofetil</w:t>
      </w:r>
      <w:proofErr w:type="spellEnd"/>
      <w:r w:rsidRPr="00137644">
        <w:t xml:space="preserve"> </w:t>
      </w:r>
      <w:r>
        <w:t xml:space="preserve">η </w:t>
      </w:r>
      <w:proofErr w:type="spellStart"/>
      <w:r>
        <w:t>αζαθειοπρίνη</w:t>
      </w:r>
      <w:proofErr w:type="spellEnd"/>
      <w:r>
        <w:t xml:space="preserve">, η </w:t>
      </w:r>
      <w:proofErr w:type="spellStart"/>
      <w:r>
        <w:t>μ</w:t>
      </w:r>
      <w:r w:rsidRPr="00137644">
        <w:t>εθοτρεξάτη</w:t>
      </w:r>
      <w:proofErr w:type="spellEnd"/>
      <w:r w:rsidRPr="00137644">
        <w:t xml:space="preserve">, </w:t>
      </w:r>
      <w:r>
        <w:t xml:space="preserve">η </w:t>
      </w:r>
      <w:proofErr w:type="spellStart"/>
      <w:r w:rsidRPr="00137644">
        <w:t>μιτοξαντρόνη</w:t>
      </w:r>
      <w:proofErr w:type="spellEnd"/>
      <w:r>
        <w:t xml:space="preserve">, η </w:t>
      </w:r>
      <w:proofErr w:type="spellStart"/>
      <w:r w:rsidRPr="005236FB">
        <w:t>κυκλοσπορίνη</w:t>
      </w:r>
      <w:proofErr w:type="spellEnd"/>
      <w:r w:rsidRPr="005236FB">
        <w:t xml:space="preserve"> Α</w:t>
      </w:r>
      <w:r>
        <w:t xml:space="preserve"> κ.ά</w:t>
      </w:r>
      <w:r w:rsidRPr="00137644">
        <w:t xml:space="preserve">. </w:t>
      </w:r>
      <w:r>
        <w:t>Στόχος είναι η</w:t>
      </w:r>
      <w:r w:rsidRPr="00137644">
        <w:t xml:space="preserve"> μείωση των υποτροπών </w:t>
      </w:r>
      <w:r>
        <w:t>και η</w:t>
      </w:r>
      <w:r w:rsidRPr="00137644">
        <w:t xml:space="preserve"> πρόληψη </w:t>
      </w:r>
      <w:r>
        <w:t>ως προς την</w:t>
      </w:r>
      <w:r w:rsidRPr="00137644">
        <w:t xml:space="preserve"> αναπηρία </w:t>
      </w:r>
      <w:r>
        <w:t>στοχεύο</w:t>
      </w:r>
      <w:r w:rsidRPr="00137644">
        <w:t>ν</w:t>
      </w:r>
      <w:r>
        <w:t>τας</w:t>
      </w:r>
      <w:r w:rsidRPr="00137644">
        <w:t xml:space="preserve"> σε διάφορες οδούς στην </w:t>
      </w:r>
      <w:proofErr w:type="spellStart"/>
      <w:r w:rsidRPr="00137644">
        <w:t>παθοφυσιολογία</w:t>
      </w:r>
      <w:proofErr w:type="spellEnd"/>
      <w:r w:rsidRPr="00137644">
        <w:t xml:space="preserve"> </w:t>
      </w:r>
      <w:r>
        <w:t>της οπτικής νευρομυελίτιδας (</w:t>
      </w:r>
      <w:proofErr w:type="spellStart"/>
      <w:r w:rsidRPr="000666F7">
        <w:t>Bruscolini</w:t>
      </w:r>
      <w:proofErr w:type="spellEnd"/>
      <w:r>
        <w:t xml:space="preserve"> </w:t>
      </w:r>
      <w:proofErr w:type="spellStart"/>
      <w:r w:rsidRPr="000666F7">
        <w:t>et</w:t>
      </w:r>
      <w:proofErr w:type="spellEnd"/>
      <w:r w:rsidRPr="000666F7">
        <w:t xml:space="preserve"> </w:t>
      </w:r>
      <w:proofErr w:type="spellStart"/>
      <w:r w:rsidRPr="000666F7">
        <w:t>al</w:t>
      </w:r>
      <w:proofErr w:type="spellEnd"/>
      <w:r>
        <w:t xml:space="preserve">., </w:t>
      </w:r>
      <w:r w:rsidRPr="000666F7">
        <w:t>2018).</w:t>
      </w:r>
      <w:r>
        <w:t xml:space="preserve"> Τα εν λόγω φάρμακα αναφέρονται πιο εκτεταμένα </w:t>
      </w:r>
      <w:r w:rsidRPr="00137644">
        <w:t>παρακάτω</w:t>
      </w:r>
      <w:r>
        <w:t xml:space="preserve"> μιας και ανήκουν στο φάσμα μιας πιο πειραματικής </w:t>
      </w:r>
      <w:proofErr w:type="spellStart"/>
      <w:r>
        <w:t>ανασκοπικής</w:t>
      </w:r>
      <w:proofErr w:type="spellEnd"/>
      <w:r>
        <w:t xml:space="preserve"> προσέγγισης</w:t>
      </w:r>
      <w:r w:rsidRPr="00137644">
        <w:t>.</w:t>
      </w:r>
    </w:p>
    <w:p w:rsidR="00D47758" w:rsidRDefault="00D47758" w:rsidP="00D47758">
      <w:pPr>
        <w:pStyle w:val="3"/>
      </w:pPr>
      <w:r>
        <w:br w:type="page"/>
      </w:r>
      <w:bookmarkStart w:id="48" w:name="_Toc57241650"/>
      <w:r>
        <w:lastRenderedPageBreak/>
        <w:t>3.7.2. Έ</w:t>
      </w:r>
      <w:r w:rsidRPr="00F923AF">
        <w:t xml:space="preserve">ρευνες </w:t>
      </w:r>
      <w:r>
        <w:t>στο πλαίσιο της θεραπείας</w:t>
      </w:r>
      <w:bookmarkEnd w:id="48"/>
    </w:p>
    <w:p w:rsidR="00D47758" w:rsidRPr="00BB5801" w:rsidRDefault="00D47758" w:rsidP="00D47758">
      <w:r w:rsidRPr="006E043C">
        <w:t xml:space="preserve">Η θεραπεία της διαταραχής του φάσματος της οπτικής νευρομυελίτιδας (NMOSD) έχει μέχρι στιγμής βασιστεί σε </w:t>
      </w:r>
      <w:proofErr w:type="spellStart"/>
      <w:r w:rsidRPr="006E043C">
        <w:t>ανασκοπικές</w:t>
      </w:r>
      <w:proofErr w:type="spellEnd"/>
      <w:r w:rsidRPr="006E043C">
        <w:t xml:space="preserve"> περιπτώσεις μελέτης. </w:t>
      </w:r>
      <w:r>
        <w:t>Α</w:t>
      </w:r>
      <w:r w:rsidRPr="006E043C">
        <w:t xml:space="preserve">ποτελέσματα </w:t>
      </w:r>
      <w:r>
        <w:t>από 6 κλινικές δοκιμές</w:t>
      </w:r>
      <w:r w:rsidRPr="006E043C">
        <w:t xml:space="preserve"> έχουν πρόσφατα δημοσιευθεί, συμπεριλαμβανομένων </w:t>
      </w:r>
      <w:r>
        <w:t>5</w:t>
      </w:r>
      <w:r w:rsidRPr="006E043C">
        <w:t xml:space="preserve"> διαφορετικών </w:t>
      </w:r>
      <w:proofErr w:type="spellStart"/>
      <w:r w:rsidRPr="006E043C">
        <w:t>μονοκλωνικών</w:t>
      </w:r>
      <w:proofErr w:type="spellEnd"/>
      <w:r w:rsidRPr="006E043C">
        <w:t xml:space="preserve"> αντισωμάτων που στοχεύουν σε τέσσερα μόρια και </w:t>
      </w:r>
      <w:r>
        <w:t>3</w:t>
      </w:r>
      <w:r w:rsidRPr="006E043C">
        <w:t xml:space="preserve"> ξεχωριστές </w:t>
      </w:r>
      <w:proofErr w:type="spellStart"/>
      <w:r w:rsidRPr="006E043C">
        <w:t>παθοφυσιολογικές</w:t>
      </w:r>
      <w:proofErr w:type="spellEnd"/>
      <w:r w:rsidRPr="006E043C">
        <w:t xml:space="preserve"> οδούς. Αρκετές θεραπείες που είναι αποτελεσματικές στη σκλήρυνση κατά πλάκας (MS), όπως η </w:t>
      </w:r>
      <w:proofErr w:type="spellStart"/>
      <w:r w:rsidRPr="006E043C">
        <w:t>ιντερφερόνη</w:t>
      </w:r>
      <w:proofErr w:type="spellEnd"/>
      <w:r w:rsidRPr="006E043C">
        <w:t xml:space="preserve"> βήτα, η </w:t>
      </w:r>
      <w:proofErr w:type="spellStart"/>
      <w:r w:rsidRPr="006E043C">
        <w:t>φινγκολιμόδη</w:t>
      </w:r>
      <w:proofErr w:type="spellEnd"/>
      <w:r w:rsidRPr="006E043C">
        <w:t xml:space="preserve">, το </w:t>
      </w:r>
      <w:proofErr w:type="spellStart"/>
      <w:r w:rsidRPr="006E043C">
        <w:t>alemtuzumab</w:t>
      </w:r>
      <w:proofErr w:type="spellEnd"/>
      <w:r w:rsidRPr="006E043C">
        <w:t xml:space="preserve"> και το </w:t>
      </w:r>
      <w:proofErr w:type="spellStart"/>
      <w:r w:rsidRPr="006E043C">
        <w:t>natalizumab</w:t>
      </w:r>
      <w:proofErr w:type="spellEnd"/>
      <w:r w:rsidRPr="006E043C">
        <w:t xml:space="preserve"> σχετίζονται με σοβαρή έκβαση, συμπεριλαμβανομένων καταστροφικών παροξύνσεων σε ασθενείς με NMOSD </w:t>
      </w:r>
      <w:r w:rsidRPr="00BB5801">
        <w:t>(</w:t>
      </w:r>
      <w:proofErr w:type="spellStart"/>
      <w:r w:rsidRPr="00BB5801">
        <w:t>Azzopardi</w:t>
      </w:r>
      <w:proofErr w:type="spellEnd"/>
      <w:r w:rsidRPr="00BB5801">
        <w:t xml:space="preserve">, </w:t>
      </w:r>
      <w:proofErr w:type="spellStart"/>
      <w:r w:rsidRPr="00BB5801">
        <w:t>Cox</w:t>
      </w:r>
      <w:proofErr w:type="spellEnd"/>
      <w:r w:rsidRPr="00BB5801">
        <w:t xml:space="preserve">, </w:t>
      </w:r>
      <w:proofErr w:type="spellStart"/>
      <w:r w:rsidRPr="00BB5801">
        <w:t>McCarthy</w:t>
      </w:r>
      <w:proofErr w:type="spellEnd"/>
      <w:r w:rsidRPr="00BB5801">
        <w:t xml:space="preserve">, </w:t>
      </w:r>
      <w:proofErr w:type="spellStart"/>
      <w:r w:rsidRPr="00BB5801">
        <w:t>Jones</w:t>
      </w:r>
      <w:proofErr w:type="spellEnd"/>
      <w:r w:rsidRPr="00BB5801">
        <w:t xml:space="preserve"> &amp; </w:t>
      </w:r>
      <w:proofErr w:type="spellStart"/>
      <w:r w:rsidRPr="00BB5801">
        <w:t>Coles</w:t>
      </w:r>
      <w:proofErr w:type="spellEnd"/>
      <w:r w:rsidRPr="00BB5801">
        <w:t>, 2016).</w:t>
      </w:r>
    </w:p>
    <w:p w:rsidR="00D47758" w:rsidRDefault="00D47758" w:rsidP="00D47758">
      <w:r w:rsidRPr="00CC42B0">
        <w:t xml:space="preserve">Η </w:t>
      </w:r>
      <w:r>
        <w:t>υπάρχουσες και οι ολοένα αναδυόμενες</w:t>
      </w:r>
      <w:r w:rsidRPr="00CC42B0">
        <w:t xml:space="preserve"> </w:t>
      </w:r>
      <w:r>
        <w:t>θεραπείες της οπτικής νευρομυελίτιδας</w:t>
      </w:r>
      <w:r w:rsidRPr="00CC42B0">
        <w:t xml:space="preserve"> </w:t>
      </w:r>
      <w:r>
        <w:t>ουσιαστικά βασίζονται</w:t>
      </w:r>
      <w:r w:rsidRPr="00CC42B0">
        <w:t xml:space="preserve"> σε σειρά </w:t>
      </w:r>
      <w:proofErr w:type="spellStart"/>
      <w:r>
        <w:t>προϋπαρχόντων</w:t>
      </w:r>
      <w:proofErr w:type="spellEnd"/>
      <w:r>
        <w:t xml:space="preserve"> </w:t>
      </w:r>
      <w:r w:rsidRPr="00CC42B0">
        <w:t xml:space="preserve">περιπτώσεων </w:t>
      </w:r>
      <w:r>
        <w:t>φυσικά έχοντας πλήρη</w:t>
      </w:r>
      <w:r w:rsidRPr="00CC42B0">
        <w:t xml:space="preserve"> συναίνεση</w:t>
      </w:r>
      <w:r w:rsidRPr="00901019">
        <w:t xml:space="preserve"> (</w:t>
      </w:r>
      <w:r w:rsidRPr="00BB5801">
        <w:rPr>
          <w:lang w:val="en-US"/>
        </w:rPr>
        <w:t>Duchow</w:t>
      </w:r>
      <w:r w:rsidRPr="00901019">
        <w:t xml:space="preserve">, </w:t>
      </w:r>
      <w:r w:rsidRPr="00BB5801">
        <w:rPr>
          <w:lang w:val="en-US"/>
        </w:rPr>
        <w:t>Paul</w:t>
      </w:r>
      <w:r w:rsidRPr="00901019">
        <w:t xml:space="preserve">, </w:t>
      </w:r>
      <w:r w:rsidRPr="00BB5801">
        <w:rPr>
          <w:lang w:val="en-US"/>
        </w:rPr>
        <w:t>Bellmann</w:t>
      </w:r>
      <w:r w:rsidRPr="00901019">
        <w:t>-</w:t>
      </w:r>
      <w:r w:rsidRPr="00BB5801">
        <w:rPr>
          <w:lang w:val="en-US"/>
        </w:rPr>
        <w:t>Strobl</w:t>
      </w:r>
      <w:r w:rsidRPr="00901019">
        <w:t>, 2020),</w:t>
      </w:r>
      <w:r>
        <w:t xml:space="preserve"> και ο στόχος είναι η εφαρμογή στην κλινική πρακτική.</w:t>
      </w:r>
      <w:r w:rsidRPr="00CC42B0">
        <w:t xml:space="preserve"> </w:t>
      </w:r>
      <w:r>
        <w:t>Πειραματικές θεραπείες αναθεωρούνται</w:t>
      </w:r>
      <w:r w:rsidRPr="00CC42B0">
        <w:t xml:space="preserve"> </w:t>
      </w:r>
      <w:r>
        <w:t xml:space="preserve">συνεχώς. </w:t>
      </w:r>
    </w:p>
    <w:p w:rsidR="00D47758" w:rsidRDefault="00D47758" w:rsidP="00D47758">
      <w:r>
        <w:t>Στις περιπτώσεις των εγκύων γυναικών με οπτική νευρομυελίτιδα, λόγω του ότι τ</w:t>
      </w:r>
      <w:r w:rsidRPr="00CC42B0">
        <w:t xml:space="preserve">ο AQP4-IgG εκφράζεται στον πλακούντα </w:t>
      </w:r>
      <w:r>
        <w:t>εμφανίζεται</w:t>
      </w:r>
      <w:r w:rsidRPr="00CC42B0">
        <w:t xml:space="preserve"> υψηλό</w:t>
      </w:r>
      <w:r>
        <w:t>ς</w:t>
      </w:r>
      <w:r w:rsidRPr="00CC42B0">
        <w:t xml:space="preserve"> κίνδυνο</w:t>
      </w:r>
      <w:r>
        <w:t>ς</w:t>
      </w:r>
      <w:r w:rsidRPr="00CC42B0">
        <w:t xml:space="preserve"> </w:t>
      </w:r>
      <w:proofErr w:type="spellStart"/>
      <w:r>
        <w:t>προεκλαμψίας</w:t>
      </w:r>
      <w:proofErr w:type="spellEnd"/>
      <w:r>
        <w:t xml:space="preserve">, εκλαμψίας και </w:t>
      </w:r>
      <w:r w:rsidRPr="00CC42B0">
        <w:t xml:space="preserve">αποβολής </w:t>
      </w:r>
      <w:r>
        <w:t>κυρίως</w:t>
      </w:r>
      <w:r w:rsidRPr="00CC42B0">
        <w:t xml:space="preserve"> εάν δεν υποβάλλονται σε θεραπεία ή </w:t>
      </w:r>
      <w:r>
        <w:t xml:space="preserve">είναι </w:t>
      </w:r>
      <w:r w:rsidRPr="00CC42B0">
        <w:t xml:space="preserve">ασταθείς </w:t>
      </w:r>
      <w:r w:rsidRPr="00901019">
        <w:t>(</w:t>
      </w:r>
      <w:r w:rsidRPr="00BB5801">
        <w:rPr>
          <w:lang w:val="en-US"/>
        </w:rPr>
        <w:t>Delgado</w:t>
      </w:r>
      <w:r w:rsidRPr="00901019">
        <w:t>-</w:t>
      </w:r>
      <w:r w:rsidRPr="00BB5801">
        <w:rPr>
          <w:lang w:val="en-US"/>
        </w:rPr>
        <w:t>Garcia</w:t>
      </w:r>
      <w:r w:rsidRPr="00901019">
        <w:t xml:space="preserve">, </w:t>
      </w:r>
      <w:r w:rsidRPr="00BB5801">
        <w:rPr>
          <w:lang w:val="en-US"/>
        </w:rPr>
        <w:t>Chavez</w:t>
      </w:r>
      <w:r w:rsidRPr="00901019">
        <w:t xml:space="preserve">, </w:t>
      </w:r>
      <w:r w:rsidRPr="00BB5801">
        <w:rPr>
          <w:lang w:val="en-US"/>
        </w:rPr>
        <w:t>Rivas</w:t>
      </w:r>
      <w:r w:rsidRPr="00901019">
        <w:t>-</w:t>
      </w:r>
      <w:r w:rsidRPr="00BB5801">
        <w:rPr>
          <w:lang w:val="en-US"/>
        </w:rPr>
        <w:t>Alonso</w:t>
      </w:r>
      <w:r w:rsidRPr="00901019">
        <w:t xml:space="preserve">, </w:t>
      </w:r>
      <w:r w:rsidRPr="00BB5801">
        <w:rPr>
          <w:lang w:val="en-US"/>
        </w:rPr>
        <w:t>Corona</w:t>
      </w:r>
      <w:r w:rsidRPr="00901019">
        <w:t xml:space="preserve"> &amp; </w:t>
      </w:r>
      <w:r w:rsidRPr="00BB5801">
        <w:rPr>
          <w:lang w:val="en-US"/>
        </w:rPr>
        <w:t>Flores</w:t>
      </w:r>
      <w:r w:rsidRPr="00901019">
        <w:t>-</w:t>
      </w:r>
      <w:r w:rsidRPr="00BB5801">
        <w:rPr>
          <w:lang w:val="en-US"/>
        </w:rPr>
        <w:t>Rivera</w:t>
      </w:r>
      <w:r w:rsidRPr="00901019">
        <w:t xml:space="preserve">, 2018) </w:t>
      </w:r>
      <w:r>
        <w:t xml:space="preserve">Τέλος, αναφορικά με αυτήν την ομάδα των </w:t>
      </w:r>
      <w:proofErr w:type="spellStart"/>
      <w:r>
        <w:t>νοσούντων</w:t>
      </w:r>
      <w:proofErr w:type="spellEnd"/>
      <w:r>
        <w:t xml:space="preserve">, υπάρχει υψηλός </w:t>
      </w:r>
      <w:r w:rsidRPr="00CC42B0">
        <w:t xml:space="preserve">κίνδυνος υποτροπής κατά τη διάρκεια της εγκυμοσύνης </w:t>
      </w:r>
      <w:r>
        <w:t>καθώς επίσης και έπειτα από</w:t>
      </w:r>
      <w:r w:rsidRPr="00CC42B0">
        <w:t xml:space="preserve"> τον τοκετό </w:t>
      </w:r>
      <w:r w:rsidRPr="00901019">
        <w:t>(</w:t>
      </w:r>
      <w:r w:rsidRPr="00BB5801">
        <w:rPr>
          <w:lang w:val="en-US"/>
        </w:rPr>
        <w:t>Mao</w:t>
      </w:r>
      <w:r w:rsidRPr="00901019">
        <w:t>-</w:t>
      </w:r>
      <w:r w:rsidRPr="00BB5801">
        <w:rPr>
          <w:lang w:val="en-US"/>
        </w:rPr>
        <w:t>Draayer</w:t>
      </w:r>
      <w:r w:rsidRPr="00901019">
        <w:t xml:space="preserve">, </w:t>
      </w:r>
      <w:r w:rsidRPr="00BB5801">
        <w:rPr>
          <w:lang w:val="en-US"/>
        </w:rPr>
        <w:t>Thiel</w:t>
      </w:r>
      <w:r w:rsidRPr="00901019">
        <w:t xml:space="preserve">, </w:t>
      </w:r>
      <w:r w:rsidRPr="00BB5801">
        <w:rPr>
          <w:lang w:val="en-US"/>
        </w:rPr>
        <w:t>Mills</w:t>
      </w:r>
      <w:r w:rsidRPr="00901019">
        <w:t xml:space="preserve">, </w:t>
      </w:r>
      <w:r w:rsidRPr="00BB5801">
        <w:rPr>
          <w:lang w:val="en-US"/>
        </w:rPr>
        <w:t>Chitnis</w:t>
      </w:r>
      <w:r w:rsidRPr="00901019">
        <w:t xml:space="preserve">, </w:t>
      </w:r>
      <w:r w:rsidRPr="00BB5801">
        <w:rPr>
          <w:lang w:val="en-US"/>
        </w:rPr>
        <w:t>Fabian</w:t>
      </w:r>
      <w:r w:rsidRPr="00901019">
        <w:t xml:space="preserve">, </w:t>
      </w:r>
      <w:r w:rsidRPr="00BB5801">
        <w:rPr>
          <w:lang w:val="en-US"/>
        </w:rPr>
        <w:t>Katz</w:t>
      </w:r>
      <w:r w:rsidRPr="00901019">
        <w:t xml:space="preserve"> </w:t>
      </w:r>
      <w:r w:rsidRPr="00BB5801">
        <w:rPr>
          <w:lang w:val="en-US"/>
        </w:rPr>
        <w:t>et</w:t>
      </w:r>
      <w:r w:rsidRPr="00901019">
        <w:t xml:space="preserve"> </w:t>
      </w:r>
      <w:r w:rsidRPr="00BB5801">
        <w:rPr>
          <w:lang w:val="en-US"/>
        </w:rPr>
        <w:t>al</w:t>
      </w:r>
      <w:r w:rsidRPr="00901019">
        <w:t xml:space="preserve">., 2020; </w:t>
      </w:r>
      <w:r w:rsidRPr="00BB5801">
        <w:rPr>
          <w:lang w:val="en-US"/>
        </w:rPr>
        <w:t>Borisow</w:t>
      </w:r>
      <w:r w:rsidRPr="00901019">
        <w:t xml:space="preserve">, </w:t>
      </w:r>
      <w:r w:rsidRPr="00BB5801">
        <w:rPr>
          <w:lang w:val="en-US"/>
        </w:rPr>
        <w:t>Hellwig</w:t>
      </w:r>
      <w:r w:rsidRPr="00241C41">
        <w:t xml:space="preserve"> &amp;</w:t>
      </w:r>
      <w:r w:rsidRPr="00901019">
        <w:t xml:space="preserve"> </w:t>
      </w:r>
      <w:r w:rsidRPr="00BB5801">
        <w:rPr>
          <w:lang w:val="en-US"/>
        </w:rPr>
        <w:t>Paul</w:t>
      </w:r>
      <w:r w:rsidRPr="00241C41">
        <w:t>,</w:t>
      </w:r>
      <w:r w:rsidRPr="00901019">
        <w:t xml:space="preserve"> </w:t>
      </w:r>
      <w:r>
        <w:t>2018</w:t>
      </w:r>
      <w:r w:rsidRPr="00901019">
        <w:t>)</w:t>
      </w:r>
      <w:r>
        <w:t>.</w:t>
      </w:r>
    </w:p>
    <w:p w:rsidR="00D47758" w:rsidRDefault="00D47758" w:rsidP="00D47758">
      <w:r w:rsidRPr="008C532E">
        <w:t xml:space="preserve">Η παραδοσιακή </w:t>
      </w:r>
      <w:proofErr w:type="spellStart"/>
      <w:r w:rsidRPr="008C532E">
        <w:t>ανοσοκατασταλτική</w:t>
      </w:r>
      <w:proofErr w:type="spellEnd"/>
      <w:r w:rsidRPr="008C532E">
        <w:t xml:space="preserve"> θεραπεία, συμπεριλαμβανομένης της </w:t>
      </w:r>
      <w:proofErr w:type="spellStart"/>
      <w:r w:rsidRPr="008C532E">
        <w:t>αζαθειοπρίνης</w:t>
      </w:r>
      <w:proofErr w:type="spellEnd"/>
      <w:r w:rsidRPr="008C532E">
        <w:t xml:space="preserve"> ή της </w:t>
      </w:r>
      <w:proofErr w:type="spellStart"/>
      <w:r w:rsidRPr="008C532E">
        <w:t>μυκοφαινολάτης</w:t>
      </w:r>
      <w:proofErr w:type="spellEnd"/>
      <w:r w:rsidRPr="008C532E">
        <w:t xml:space="preserve"> </w:t>
      </w:r>
      <w:proofErr w:type="spellStart"/>
      <w:r w:rsidRPr="008C532E">
        <w:t>μοφετίλης</w:t>
      </w:r>
      <w:proofErr w:type="spellEnd"/>
      <w:r w:rsidRPr="008C532E">
        <w:t xml:space="preserve"> σε συνδυασμό με χαμηλή δόση </w:t>
      </w:r>
      <w:proofErr w:type="spellStart"/>
      <w:r w:rsidRPr="008C532E">
        <w:t>κορτικοστεροειδή</w:t>
      </w:r>
      <w:proofErr w:type="spellEnd"/>
      <w:r w:rsidRPr="008C532E">
        <w:t xml:space="preserve"> υπήρξε ακρογωνιαίος λίθος στη θεραπεία </w:t>
      </w:r>
      <w:r>
        <w:t>της οπτικής νευρομυελίτιδας</w:t>
      </w:r>
      <w:r w:rsidRPr="008C532E">
        <w:t xml:space="preserve"> και εξακολουθεί να χρησιμοποιείται </w:t>
      </w:r>
      <w:r>
        <w:t>σε μεγάλο βαθμό</w:t>
      </w:r>
      <w:r w:rsidRPr="008C532E">
        <w:t xml:space="preserve"> </w:t>
      </w:r>
      <w:r w:rsidRPr="00241C41">
        <w:t>(</w:t>
      </w:r>
      <w:r w:rsidRPr="00BB5801">
        <w:rPr>
          <w:lang w:val="en-US"/>
        </w:rPr>
        <w:t>Fragoso</w:t>
      </w:r>
      <w:r w:rsidRPr="00241C41">
        <w:t xml:space="preserve">, </w:t>
      </w:r>
      <w:r w:rsidRPr="00BB5801">
        <w:rPr>
          <w:lang w:val="en-US"/>
        </w:rPr>
        <w:t>Sousa</w:t>
      </w:r>
      <w:r w:rsidRPr="00241C41">
        <w:t xml:space="preserve">, </w:t>
      </w:r>
      <w:r w:rsidRPr="00BB5801">
        <w:rPr>
          <w:lang w:val="en-US"/>
        </w:rPr>
        <w:t>Alves</w:t>
      </w:r>
      <w:r w:rsidRPr="00241C41">
        <w:t>-</w:t>
      </w:r>
      <w:r w:rsidRPr="00BB5801">
        <w:rPr>
          <w:lang w:val="en-US"/>
        </w:rPr>
        <w:t>Leon</w:t>
      </w:r>
      <w:r w:rsidRPr="00241C41">
        <w:t xml:space="preserve">, </w:t>
      </w:r>
      <w:r w:rsidRPr="00BB5801">
        <w:rPr>
          <w:lang w:val="en-US"/>
        </w:rPr>
        <w:t>Dias</w:t>
      </w:r>
      <w:r w:rsidRPr="00241C41">
        <w:t xml:space="preserve">, </w:t>
      </w:r>
      <w:r w:rsidRPr="00BB5801">
        <w:rPr>
          <w:lang w:val="en-US"/>
        </w:rPr>
        <w:t>Pimente</w:t>
      </w:r>
      <w:r>
        <w:t>l</w:t>
      </w:r>
      <w:r w:rsidRPr="00241C41">
        <w:t xml:space="preserve">, </w:t>
      </w:r>
      <w:r w:rsidRPr="00BB5801">
        <w:rPr>
          <w:lang w:val="en-US"/>
        </w:rPr>
        <w:t>Gomes</w:t>
      </w:r>
      <w:r w:rsidRPr="00241C41">
        <w:t xml:space="preserve"> </w:t>
      </w:r>
      <w:r w:rsidRPr="00BB5801">
        <w:rPr>
          <w:lang w:val="en-US"/>
        </w:rPr>
        <w:t>et</w:t>
      </w:r>
      <w:r w:rsidRPr="00241C41">
        <w:t xml:space="preserve"> </w:t>
      </w:r>
      <w:r w:rsidRPr="00BB5801">
        <w:rPr>
          <w:lang w:val="en-US"/>
        </w:rPr>
        <w:t>al</w:t>
      </w:r>
      <w:r w:rsidRPr="00241C41">
        <w:t>, 2019)</w:t>
      </w:r>
      <w:r w:rsidRPr="008C532E">
        <w:t xml:space="preserve">. Η χρήση </w:t>
      </w:r>
      <w:proofErr w:type="spellStart"/>
      <w:r w:rsidRPr="008C532E">
        <w:t>κορτικοστεροειδών</w:t>
      </w:r>
      <w:proofErr w:type="spellEnd"/>
      <w:r w:rsidRPr="008C532E">
        <w:t xml:space="preserve"> χαμηλής δόσης </w:t>
      </w:r>
      <w:r>
        <w:t>ως</w:t>
      </w:r>
      <w:r w:rsidRPr="008C532E">
        <w:t xml:space="preserve"> θεραπεία συντήρησης υποστηρίζεται </w:t>
      </w:r>
      <w:r>
        <w:t xml:space="preserve">εδώ και αρκετά χρόνια όπως προκύπτει </w:t>
      </w:r>
      <w:r w:rsidRPr="008C532E">
        <w:t xml:space="preserve">από </w:t>
      </w:r>
      <w:proofErr w:type="spellStart"/>
      <w:r>
        <w:t>ανασκοπικά</w:t>
      </w:r>
      <w:proofErr w:type="spellEnd"/>
      <w:r w:rsidRPr="008C532E">
        <w:t xml:space="preserve"> στοιχεία </w:t>
      </w:r>
      <w:r w:rsidRPr="00241C41">
        <w:t>(</w:t>
      </w:r>
      <w:r w:rsidRPr="00BB5801">
        <w:rPr>
          <w:lang w:val="en-US"/>
        </w:rPr>
        <w:t>Watanabe</w:t>
      </w:r>
      <w:r w:rsidRPr="00241C41">
        <w:t xml:space="preserve">, </w:t>
      </w:r>
      <w:r w:rsidRPr="00BB5801">
        <w:rPr>
          <w:lang w:val="en-US"/>
        </w:rPr>
        <w:t>Misu</w:t>
      </w:r>
      <w:r w:rsidRPr="00241C41">
        <w:t xml:space="preserve">, </w:t>
      </w:r>
      <w:r w:rsidRPr="00BB5801">
        <w:rPr>
          <w:lang w:val="en-US"/>
        </w:rPr>
        <w:t>Miyazawa</w:t>
      </w:r>
      <w:r w:rsidRPr="00241C41">
        <w:t xml:space="preserve">, </w:t>
      </w:r>
      <w:r w:rsidRPr="00BB5801">
        <w:rPr>
          <w:lang w:val="en-US"/>
        </w:rPr>
        <w:t>Nakashima</w:t>
      </w:r>
      <w:r w:rsidRPr="00241C41">
        <w:t xml:space="preserve">, </w:t>
      </w:r>
      <w:r w:rsidRPr="00BB5801">
        <w:rPr>
          <w:lang w:val="en-US"/>
        </w:rPr>
        <w:t>Shiga</w:t>
      </w:r>
      <w:r w:rsidRPr="00241C41">
        <w:t xml:space="preserve">, </w:t>
      </w:r>
      <w:r w:rsidRPr="00BB5801">
        <w:rPr>
          <w:lang w:val="en-US"/>
        </w:rPr>
        <w:t>Fujihara</w:t>
      </w:r>
      <w:r w:rsidRPr="00241C41">
        <w:t xml:space="preserve"> </w:t>
      </w:r>
      <w:r w:rsidRPr="00BB5801">
        <w:rPr>
          <w:lang w:val="en-US"/>
        </w:rPr>
        <w:t>et</w:t>
      </w:r>
      <w:r w:rsidRPr="00241C41">
        <w:t xml:space="preserve"> </w:t>
      </w:r>
      <w:r w:rsidRPr="00BB5801">
        <w:rPr>
          <w:lang w:val="en-US"/>
        </w:rPr>
        <w:t>al</w:t>
      </w:r>
      <w:r w:rsidRPr="00241C41">
        <w:t xml:space="preserve">, 2007) , </w:t>
      </w:r>
      <w:r w:rsidRPr="008C532E">
        <w:t xml:space="preserve">αλλά δεν έχει μελετηθεί </w:t>
      </w:r>
      <w:r>
        <w:t>σε συστηματικό βαθμό.</w:t>
      </w:r>
    </w:p>
    <w:p w:rsidR="00D47758" w:rsidRDefault="00D47758" w:rsidP="00D47758">
      <w:r w:rsidRPr="00AC19B4">
        <w:t xml:space="preserve">Η </w:t>
      </w:r>
      <w:proofErr w:type="spellStart"/>
      <w:r w:rsidRPr="00AC19B4">
        <w:t>αζαθειοπρίνη</w:t>
      </w:r>
      <w:proofErr w:type="spellEnd"/>
      <w:r w:rsidRPr="00AC19B4">
        <w:t xml:space="preserve"> είναι ένα </w:t>
      </w:r>
      <w:proofErr w:type="spellStart"/>
      <w:r w:rsidRPr="00AC19B4">
        <w:t>προφάρμακο</w:t>
      </w:r>
      <w:proofErr w:type="spellEnd"/>
      <w:r w:rsidRPr="00AC19B4">
        <w:t xml:space="preserve"> 6-μερκαπτοπουρίνης, το οποίο αναστέλλει τη σύνθεση </w:t>
      </w:r>
      <w:proofErr w:type="spellStart"/>
      <w:r w:rsidRPr="00AC19B4">
        <w:t>πουρίνης</w:t>
      </w:r>
      <w:proofErr w:type="spellEnd"/>
      <w:r w:rsidRPr="00AC19B4">
        <w:t xml:space="preserve"> και τον πολλαπλασιασμό των λεμφοκυττάρων</w:t>
      </w:r>
      <w:r w:rsidRPr="00241C41">
        <w:t xml:space="preserve"> (</w:t>
      </w:r>
      <w:r w:rsidRPr="00BB5801">
        <w:rPr>
          <w:lang w:val="en-US"/>
        </w:rPr>
        <w:t>Tiede</w:t>
      </w:r>
      <w:r w:rsidRPr="00241C41">
        <w:t xml:space="preserve">, </w:t>
      </w:r>
      <w:r w:rsidRPr="00BB5801">
        <w:rPr>
          <w:lang w:val="en-US"/>
        </w:rPr>
        <w:t>Fritz</w:t>
      </w:r>
      <w:r w:rsidRPr="00241C41">
        <w:t xml:space="preserve">, </w:t>
      </w:r>
      <w:r w:rsidRPr="00BB5801">
        <w:rPr>
          <w:lang w:val="en-US"/>
        </w:rPr>
        <w:t>Strand</w:t>
      </w:r>
      <w:r w:rsidRPr="00241C41">
        <w:t xml:space="preserve">, </w:t>
      </w:r>
      <w:r w:rsidRPr="00BB5801">
        <w:rPr>
          <w:lang w:val="en-US"/>
        </w:rPr>
        <w:t>Poppe</w:t>
      </w:r>
      <w:r w:rsidRPr="00241C41">
        <w:t xml:space="preserve">, </w:t>
      </w:r>
      <w:r w:rsidRPr="00BB5801">
        <w:rPr>
          <w:lang w:val="en-US"/>
        </w:rPr>
        <w:t>Dvorsky</w:t>
      </w:r>
      <w:r w:rsidRPr="00241C41">
        <w:t xml:space="preserve">, </w:t>
      </w:r>
      <w:r w:rsidRPr="00BB5801">
        <w:rPr>
          <w:lang w:val="en-US"/>
        </w:rPr>
        <w:t>Strand</w:t>
      </w:r>
      <w:r w:rsidRPr="00241C41">
        <w:t xml:space="preserve"> </w:t>
      </w:r>
      <w:r w:rsidRPr="00BB5801">
        <w:rPr>
          <w:lang w:val="en-US"/>
        </w:rPr>
        <w:t>et</w:t>
      </w:r>
      <w:r w:rsidRPr="00241C41">
        <w:t xml:space="preserve"> </w:t>
      </w:r>
      <w:r w:rsidRPr="00BB5801">
        <w:rPr>
          <w:lang w:val="en-US"/>
        </w:rPr>
        <w:t>al</w:t>
      </w:r>
      <w:r w:rsidRPr="00241C41">
        <w:t>, 2003)</w:t>
      </w:r>
      <w:r w:rsidRPr="00AC19B4">
        <w:t xml:space="preserve">. Θετικά αποτελέσματα </w:t>
      </w:r>
      <w:r>
        <w:t>στην οπτική νευρομυελίτιδα</w:t>
      </w:r>
      <w:r w:rsidRPr="00AC19B4">
        <w:t xml:space="preserve"> αναφέρθηκαν για πρώτη φορά το 1998 σε μια μελέτη</w:t>
      </w:r>
      <w:r>
        <w:t xml:space="preserve"> που εμφάνιζε προοπτικές και αναφερόταν σε επτά </w:t>
      </w:r>
      <w:r>
        <w:lastRenderedPageBreak/>
        <w:t>ασθενείς με διάρκεια</w:t>
      </w:r>
      <w:r w:rsidRPr="00AC19B4">
        <w:t xml:space="preserve"> για </w:t>
      </w:r>
      <w:r>
        <w:t>περισσότερο από</w:t>
      </w:r>
      <w:r w:rsidRPr="00AC19B4">
        <w:t xml:space="preserve"> 18 μήνες</w:t>
      </w:r>
      <w:r w:rsidRPr="00241C41">
        <w:t xml:space="preserve"> (</w:t>
      </w:r>
      <w:r w:rsidRPr="00BB5801">
        <w:rPr>
          <w:lang w:val="en-US"/>
        </w:rPr>
        <w:t>Mandler</w:t>
      </w:r>
      <w:r w:rsidRPr="00241C41">
        <w:t xml:space="preserve">, </w:t>
      </w:r>
      <w:r w:rsidRPr="00BB5801">
        <w:rPr>
          <w:lang w:val="en-US"/>
        </w:rPr>
        <w:t>Ahmed</w:t>
      </w:r>
      <w:r w:rsidRPr="00241C41">
        <w:t xml:space="preserve"> &amp; </w:t>
      </w:r>
      <w:r w:rsidRPr="00BB5801">
        <w:rPr>
          <w:lang w:val="en-US"/>
        </w:rPr>
        <w:t>Dencoff</w:t>
      </w:r>
      <w:r w:rsidRPr="00241C41">
        <w:t>, 1998).</w:t>
      </w:r>
      <w:r w:rsidRPr="00AC19B4">
        <w:t xml:space="preserve"> Η μέση βαθμολογία </w:t>
      </w:r>
      <w:r>
        <w:t xml:space="preserve">στην </w:t>
      </w:r>
      <w:r w:rsidRPr="00AC19B4">
        <w:t>κλίμακα</w:t>
      </w:r>
      <w:r>
        <w:t xml:space="preserve"> της</w:t>
      </w:r>
      <w:r w:rsidRPr="00AC19B4">
        <w:t xml:space="preserve"> κατάστασης </w:t>
      </w:r>
      <w:r>
        <w:t xml:space="preserve">της </w:t>
      </w:r>
      <w:r w:rsidRPr="00AC19B4">
        <w:t xml:space="preserve">αναπηρίας βελτιώθηκε </w:t>
      </w:r>
      <w:r>
        <w:t xml:space="preserve">και συγκεκριμένα </w:t>
      </w:r>
      <w:r w:rsidRPr="00AC19B4">
        <w:t xml:space="preserve">από 9,0 </w:t>
      </w:r>
      <w:r>
        <w:t xml:space="preserve">έφτασε η βαθμολογία </w:t>
      </w:r>
      <w:r w:rsidRPr="00AC19B4">
        <w:t xml:space="preserve">σε 3,0 </w:t>
      </w:r>
      <w:r>
        <w:t>χωρίς να σημειωθούν</w:t>
      </w:r>
      <w:r w:rsidRPr="00AC19B4">
        <w:t xml:space="preserve"> υποτροπές.</w:t>
      </w:r>
    </w:p>
    <w:p w:rsidR="00D47758" w:rsidRDefault="00D47758" w:rsidP="00D47758">
      <w:r>
        <w:t>Στην περίπτωση των εγκύων που λαμβάνουν</w:t>
      </w:r>
      <w:r w:rsidRPr="00F267CF">
        <w:t xml:space="preserve"> </w:t>
      </w:r>
      <w:proofErr w:type="spellStart"/>
      <w:r w:rsidRPr="00F267CF">
        <w:t>αζαθειοπρίνη</w:t>
      </w:r>
      <w:proofErr w:type="spellEnd"/>
      <w:r>
        <w:t xml:space="preserve"> η οποία</w:t>
      </w:r>
      <w:r w:rsidRPr="00F267CF">
        <w:t xml:space="preserve"> μεταφέρεται μέσω </w:t>
      </w:r>
      <w:r>
        <w:t xml:space="preserve">του </w:t>
      </w:r>
      <w:r w:rsidRPr="00F267CF">
        <w:t xml:space="preserve">πλακούντα, επειδή το έμβρυο στερείται του ενζύμου που παράγει ενεργούς </w:t>
      </w:r>
      <w:proofErr w:type="spellStart"/>
      <w:r w:rsidRPr="00F267CF">
        <w:t>μεταβολίτες</w:t>
      </w:r>
      <w:proofErr w:type="spellEnd"/>
      <w:r w:rsidRPr="00F267CF">
        <w:t xml:space="preserve">, οι συγκεντρώσεις αυτών είναι χαμηλότερες από αυτές της μητέρας </w:t>
      </w:r>
      <w:r w:rsidRPr="00241C41">
        <w:t>(</w:t>
      </w:r>
      <w:r w:rsidRPr="00BB5801">
        <w:rPr>
          <w:lang w:val="en-US"/>
        </w:rPr>
        <w:t>de</w:t>
      </w:r>
      <w:r w:rsidRPr="00241C41">
        <w:t xml:space="preserve"> </w:t>
      </w:r>
      <w:r w:rsidRPr="00BB5801">
        <w:rPr>
          <w:lang w:val="en-US"/>
        </w:rPr>
        <w:t>Boer</w:t>
      </w:r>
      <w:r w:rsidRPr="00241C41">
        <w:t xml:space="preserve">, </w:t>
      </w:r>
      <w:r w:rsidRPr="00BB5801">
        <w:rPr>
          <w:lang w:val="en-US"/>
        </w:rPr>
        <w:t>Jarbandhan</w:t>
      </w:r>
      <w:r w:rsidRPr="00241C41">
        <w:t xml:space="preserve">, </w:t>
      </w:r>
      <w:r w:rsidRPr="00BB5801">
        <w:rPr>
          <w:lang w:val="en-US"/>
        </w:rPr>
        <w:t>Mulder</w:t>
      </w:r>
      <w:r w:rsidRPr="00241C41">
        <w:t xml:space="preserve">, </w:t>
      </w:r>
      <w:r w:rsidRPr="00BB5801">
        <w:rPr>
          <w:lang w:val="en-US"/>
        </w:rPr>
        <w:t>van</w:t>
      </w:r>
      <w:r w:rsidRPr="00241C41">
        <w:t xml:space="preserve"> </w:t>
      </w:r>
      <w:r w:rsidRPr="00BB5801">
        <w:rPr>
          <w:lang w:val="en-US"/>
        </w:rPr>
        <w:t>Elburg</w:t>
      </w:r>
      <w:r w:rsidRPr="00241C41">
        <w:t xml:space="preserve"> &amp; </w:t>
      </w:r>
      <w:r w:rsidRPr="00BB5801">
        <w:rPr>
          <w:lang w:val="en-US"/>
        </w:rPr>
        <w:t>van</w:t>
      </w:r>
      <w:r w:rsidRPr="00241C41">
        <w:t xml:space="preserve"> </w:t>
      </w:r>
      <w:r w:rsidRPr="00BB5801">
        <w:rPr>
          <w:lang w:val="en-US"/>
        </w:rPr>
        <w:t>Bodegraven</w:t>
      </w:r>
      <w:r w:rsidRPr="00241C41">
        <w:t>, 2006)</w:t>
      </w:r>
      <w:r w:rsidRPr="00F267CF">
        <w:t xml:space="preserve">. Μια πρόσφατη </w:t>
      </w:r>
      <w:r>
        <w:t xml:space="preserve">μελέτη </w:t>
      </w:r>
      <w:r w:rsidRPr="00F267CF">
        <w:t xml:space="preserve">εμπειρογνωμόνων τόνισε </w:t>
      </w:r>
      <w:r>
        <w:t xml:space="preserve">πως </w:t>
      </w:r>
      <w:r w:rsidRPr="00F267CF">
        <w:t xml:space="preserve">η </w:t>
      </w:r>
      <w:proofErr w:type="spellStart"/>
      <w:r w:rsidRPr="00F267CF">
        <w:t>αζαθειοπρίνη</w:t>
      </w:r>
      <w:proofErr w:type="spellEnd"/>
      <w:r w:rsidRPr="00F267CF">
        <w:t xml:space="preserve"> μπορεί </w:t>
      </w:r>
      <w:r>
        <w:t xml:space="preserve">ωστόσο </w:t>
      </w:r>
      <w:r w:rsidRPr="00F267CF">
        <w:t xml:space="preserve">να είναι σχετικά ασφαλής κατά τη διάρκεια της εγκυμοσύνης </w:t>
      </w:r>
      <w:r w:rsidRPr="00241C41">
        <w:t>(</w:t>
      </w:r>
      <w:r w:rsidRPr="00BB5801">
        <w:rPr>
          <w:lang w:val="en-US"/>
        </w:rPr>
        <w:t>Klawiter</w:t>
      </w:r>
      <w:r w:rsidRPr="00241C41">
        <w:t xml:space="preserve">, </w:t>
      </w:r>
      <w:r w:rsidRPr="00BB5801">
        <w:rPr>
          <w:lang w:val="en-US"/>
        </w:rPr>
        <w:t>Bove</w:t>
      </w:r>
      <w:r w:rsidRPr="00241C41">
        <w:t xml:space="preserve">, </w:t>
      </w:r>
      <w:r w:rsidRPr="00BB5801">
        <w:rPr>
          <w:lang w:val="en-US"/>
        </w:rPr>
        <w:t>Elsone</w:t>
      </w:r>
      <w:r w:rsidRPr="00241C41">
        <w:t xml:space="preserve">, </w:t>
      </w:r>
      <w:r w:rsidRPr="00BB5801">
        <w:rPr>
          <w:lang w:val="en-US"/>
        </w:rPr>
        <w:t>Alvarez</w:t>
      </w:r>
      <w:r w:rsidRPr="00241C41">
        <w:t xml:space="preserve">, </w:t>
      </w:r>
      <w:r w:rsidRPr="00BB5801">
        <w:rPr>
          <w:lang w:val="en-US"/>
        </w:rPr>
        <w:t>Borisow</w:t>
      </w:r>
      <w:r w:rsidRPr="00241C41">
        <w:t xml:space="preserve">, </w:t>
      </w:r>
      <w:r w:rsidRPr="00BB5801">
        <w:rPr>
          <w:lang w:val="en-US"/>
        </w:rPr>
        <w:t>Cortez</w:t>
      </w:r>
      <w:r w:rsidRPr="00241C41">
        <w:t xml:space="preserve"> </w:t>
      </w:r>
      <w:r w:rsidRPr="00BB5801">
        <w:rPr>
          <w:lang w:val="en-US"/>
        </w:rPr>
        <w:t>et</w:t>
      </w:r>
      <w:r w:rsidRPr="00241C41">
        <w:t xml:space="preserve"> </w:t>
      </w:r>
      <w:r w:rsidRPr="00BB5801">
        <w:rPr>
          <w:lang w:val="en-US"/>
        </w:rPr>
        <w:t>al</w:t>
      </w:r>
      <w:r w:rsidRPr="00241C41">
        <w:t>, 2017)</w:t>
      </w:r>
      <w:r w:rsidRPr="00F267CF">
        <w:t>.</w:t>
      </w:r>
      <w:r>
        <w:t xml:space="preserve"> Από την άλλη,</w:t>
      </w:r>
      <w:r w:rsidRPr="00F267CF">
        <w:t xml:space="preserve"> δύο </w:t>
      </w:r>
      <w:r>
        <w:t xml:space="preserve">άλλες </w:t>
      </w:r>
      <w:r w:rsidRPr="00F267CF">
        <w:t xml:space="preserve">μεγάλες </w:t>
      </w:r>
      <w:proofErr w:type="spellStart"/>
      <w:r>
        <w:t>ανασκοπικές</w:t>
      </w:r>
      <w:proofErr w:type="spellEnd"/>
      <w:r w:rsidRPr="00F267CF">
        <w:t xml:space="preserve"> μελέτες έδειξαν </w:t>
      </w:r>
      <w:r>
        <w:t xml:space="preserve">ότι υπάρχει </w:t>
      </w:r>
      <w:r w:rsidRPr="00F267CF">
        <w:t>αυξημένο</w:t>
      </w:r>
      <w:r>
        <w:t>ς</w:t>
      </w:r>
      <w:r w:rsidRPr="00F267CF">
        <w:t xml:space="preserve"> κίνδυνο</w:t>
      </w:r>
      <w:r>
        <w:t>ς</w:t>
      </w:r>
      <w:r w:rsidRPr="00F267CF">
        <w:t xml:space="preserve"> </w:t>
      </w:r>
      <w:r>
        <w:t xml:space="preserve">για </w:t>
      </w:r>
      <w:r w:rsidRPr="00F267CF">
        <w:t>πρόωρο</w:t>
      </w:r>
      <w:r>
        <w:t xml:space="preserve"> τοκετό καθώς επίσης</w:t>
      </w:r>
      <w:r w:rsidRPr="00F267CF">
        <w:t xml:space="preserve"> και χαμηλού βάρους γέννησης </w:t>
      </w:r>
      <w:r>
        <w:t xml:space="preserve"> του βρέφους</w:t>
      </w:r>
      <w:r w:rsidRPr="00F267CF">
        <w:t xml:space="preserve">, </w:t>
      </w:r>
      <w:r>
        <w:t>όπως και εμφάνιση καρδιακών ελαττωμένων</w:t>
      </w:r>
      <w:r w:rsidRPr="00F267CF">
        <w:t xml:space="preserve"> </w:t>
      </w:r>
      <w:r>
        <w:t>διαφραγμάτων (</w:t>
      </w:r>
      <w:r w:rsidRPr="00BB5801">
        <w:rPr>
          <w:lang w:val="en-US"/>
        </w:rPr>
        <w:t>Cleary</w:t>
      </w:r>
      <w:r>
        <w:t xml:space="preserve"> &amp;</w:t>
      </w:r>
      <w:r w:rsidRPr="000B0CD6">
        <w:t xml:space="preserve"> </w:t>
      </w:r>
      <w:r w:rsidRPr="00BB5801">
        <w:rPr>
          <w:lang w:val="en-US"/>
        </w:rPr>
        <w:t>Kallen</w:t>
      </w:r>
      <w:r>
        <w:t xml:space="preserve">, </w:t>
      </w:r>
      <w:r w:rsidRPr="000B0CD6">
        <w:t>2009)</w:t>
      </w:r>
      <w:r>
        <w:t>.</w:t>
      </w:r>
    </w:p>
    <w:p w:rsidR="00D47758" w:rsidRDefault="00D47758" w:rsidP="00D47758">
      <w:r>
        <w:t xml:space="preserve">Από την άλλη πλευρά, μια άλλη </w:t>
      </w:r>
      <w:r w:rsidRPr="00F267CF">
        <w:t xml:space="preserve">μελέτη δεν επιβεβαίωσε </w:t>
      </w:r>
      <w:r>
        <w:t>τα προαναφερθέντα, αλλά τόνισε πως μ</w:t>
      </w:r>
      <w:r w:rsidRPr="00F267CF">
        <w:t>πορεί να συμβεί καταστολή του μυελού των οστών στο βρέφος</w:t>
      </w:r>
      <w:r>
        <w:t xml:space="preserve"> (</w:t>
      </w:r>
      <w:r w:rsidRPr="00BB5801">
        <w:rPr>
          <w:lang w:val="en-US"/>
        </w:rPr>
        <w:t>Jharap</w:t>
      </w:r>
      <w:r w:rsidRPr="000B0CD6">
        <w:t xml:space="preserve">, </w:t>
      </w:r>
      <w:r w:rsidRPr="00BB5801">
        <w:rPr>
          <w:lang w:val="en-US"/>
        </w:rPr>
        <w:t>de</w:t>
      </w:r>
      <w:r w:rsidRPr="000B0CD6">
        <w:t xml:space="preserve"> </w:t>
      </w:r>
      <w:r w:rsidRPr="00BB5801">
        <w:rPr>
          <w:lang w:val="en-US"/>
        </w:rPr>
        <w:t>Boer</w:t>
      </w:r>
      <w:r w:rsidRPr="000B0CD6">
        <w:t xml:space="preserve">, </w:t>
      </w:r>
      <w:r w:rsidRPr="00BB5801">
        <w:rPr>
          <w:lang w:val="en-US"/>
        </w:rPr>
        <w:t>Stokkers</w:t>
      </w:r>
      <w:r w:rsidRPr="000B0CD6">
        <w:t xml:space="preserve">, </w:t>
      </w:r>
      <w:r w:rsidRPr="00BB5801">
        <w:rPr>
          <w:lang w:val="en-US"/>
        </w:rPr>
        <w:t>Hommes</w:t>
      </w:r>
      <w:r w:rsidRPr="000B0CD6">
        <w:t xml:space="preserve">, </w:t>
      </w:r>
      <w:r w:rsidRPr="00BB5801">
        <w:rPr>
          <w:lang w:val="en-US"/>
        </w:rPr>
        <w:t>Oldenburg</w:t>
      </w:r>
      <w:r w:rsidRPr="000B0CD6">
        <w:t xml:space="preserve">, </w:t>
      </w:r>
      <w:r w:rsidRPr="00BB5801">
        <w:rPr>
          <w:lang w:val="en-US"/>
        </w:rPr>
        <w:t>Dijkstra</w:t>
      </w:r>
      <w:r w:rsidRPr="000B0CD6">
        <w:t xml:space="preserve"> </w:t>
      </w:r>
      <w:r w:rsidRPr="00BB5801">
        <w:rPr>
          <w:lang w:val="en-US"/>
        </w:rPr>
        <w:t>et</w:t>
      </w:r>
      <w:r w:rsidRPr="000B0CD6">
        <w:t xml:space="preserve"> </w:t>
      </w:r>
      <w:r w:rsidRPr="00BB5801">
        <w:rPr>
          <w:lang w:val="en-US"/>
        </w:rPr>
        <w:t>al</w:t>
      </w:r>
      <w:r>
        <w:t xml:space="preserve">, </w:t>
      </w:r>
      <w:r w:rsidRPr="000B0CD6">
        <w:t>2014)</w:t>
      </w:r>
      <w:r>
        <w:t>,</w:t>
      </w:r>
      <w:r w:rsidRPr="000B0CD6">
        <w:t xml:space="preserve"> </w:t>
      </w:r>
      <w:r w:rsidRPr="00F267CF">
        <w:t xml:space="preserve"> </w:t>
      </w:r>
      <w:r>
        <w:t>οπότε είναι απαραίτητες οι</w:t>
      </w:r>
      <w:r w:rsidRPr="00F267CF">
        <w:t xml:space="preserve"> τακτικές εργαστηριακές εξετάσεις και </w:t>
      </w:r>
      <w:r>
        <w:t xml:space="preserve">ο </w:t>
      </w:r>
      <w:r w:rsidRPr="00F267CF">
        <w:t xml:space="preserve">έλεγχος υπερήχων </w:t>
      </w:r>
      <w:r>
        <w:t>έτσι ώστε να γίνεται ορθά η</w:t>
      </w:r>
      <w:r w:rsidRPr="00F267CF">
        <w:t xml:space="preserve"> αξιολόγηση της ανάπτυξης του εμβρύου</w:t>
      </w:r>
      <w:r>
        <w:t xml:space="preserve"> και</w:t>
      </w:r>
      <w:r w:rsidRPr="00F267CF">
        <w:t xml:space="preserve"> της ανάπτυξης οργάνων </w:t>
      </w:r>
      <w:r>
        <w:t xml:space="preserve">του στην περίπτωση που υπάρξει </w:t>
      </w:r>
      <w:r w:rsidRPr="00F267CF">
        <w:t>ανάγκη</w:t>
      </w:r>
      <w:r>
        <w:t xml:space="preserve"> για μείωση της δόσης</w:t>
      </w:r>
      <w:r w:rsidRPr="00F267CF">
        <w:t xml:space="preserve">. </w:t>
      </w:r>
    </w:p>
    <w:p w:rsidR="00D47758" w:rsidRPr="00F267CF" w:rsidRDefault="00D47758" w:rsidP="00D47758">
      <w:r>
        <w:t>Για την περίοδο θηλασμού αναφέρεται πως τ</w:t>
      </w:r>
      <w:r w:rsidRPr="00F267CF">
        <w:t xml:space="preserve">ο ενεργό φάρμακο απουσιάζει σε μεγάλο βαθμό στο μητρικό γάλα </w:t>
      </w:r>
      <w:r>
        <w:t xml:space="preserve">και </w:t>
      </w:r>
      <w:r w:rsidRPr="00F267CF">
        <w:t>η μέγιστη έκθεση του φαρμάκου στο βρέφος είναι &lt;1% της μητρικής δόσης</w:t>
      </w:r>
      <w:r>
        <w:t xml:space="preserve">. Επίσης φαίνεται πως απουσιάζει σε μεγάλο βαθμό και </w:t>
      </w:r>
      <w:r w:rsidRPr="00F267CF">
        <w:t xml:space="preserve">στο αίμα του βρέφους </w:t>
      </w:r>
      <w:r>
        <w:t>(</w:t>
      </w:r>
      <w:r w:rsidRPr="00BB5801">
        <w:rPr>
          <w:lang w:val="en-US"/>
        </w:rPr>
        <w:t>Christensen</w:t>
      </w:r>
      <w:r w:rsidRPr="000B0CD6">
        <w:t xml:space="preserve">, </w:t>
      </w:r>
      <w:r w:rsidRPr="00BB5801">
        <w:rPr>
          <w:lang w:val="en-US"/>
        </w:rPr>
        <w:t>Dahlerup</w:t>
      </w:r>
      <w:r w:rsidRPr="000B0CD6">
        <w:t xml:space="preserve">, </w:t>
      </w:r>
      <w:r w:rsidRPr="00BB5801">
        <w:rPr>
          <w:lang w:val="en-US"/>
        </w:rPr>
        <w:t>Nielsen</w:t>
      </w:r>
      <w:r w:rsidRPr="000B0CD6">
        <w:t xml:space="preserve">, </w:t>
      </w:r>
      <w:r w:rsidRPr="00BB5801">
        <w:rPr>
          <w:lang w:val="en-US"/>
        </w:rPr>
        <w:t>Fallingborg</w:t>
      </w:r>
      <w:r w:rsidRPr="000B0CD6">
        <w:t xml:space="preserve">, </w:t>
      </w:r>
      <w:r w:rsidRPr="00BB5801">
        <w:rPr>
          <w:lang w:val="en-US"/>
        </w:rPr>
        <w:t>Schmiegelow</w:t>
      </w:r>
      <w:r>
        <w:t xml:space="preserve">, </w:t>
      </w:r>
      <w:r w:rsidRPr="000B0CD6">
        <w:t>2008)</w:t>
      </w:r>
      <w:r w:rsidRPr="00F267CF">
        <w:t xml:space="preserve">. </w:t>
      </w:r>
      <w:r>
        <w:t>Το αποτέλεσμα είναι να καθίσταται δυνατός ο</w:t>
      </w:r>
      <w:r w:rsidRPr="00F267CF">
        <w:t xml:space="preserve"> θηλασμός</w:t>
      </w:r>
      <w:r>
        <w:t xml:space="preserve">. Ωστόσο, μέσα από άλλη μελέτη έχει </w:t>
      </w:r>
      <w:r w:rsidRPr="00F267CF">
        <w:t>αναφερθεί</w:t>
      </w:r>
      <w:r>
        <w:t xml:space="preserve"> να εμφανίζεται </w:t>
      </w:r>
      <w:proofErr w:type="spellStart"/>
      <w:r>
        <w:t>ασυμπτωματική</w:t>
      </w:r>
      <w:proofErr w:type="spellEnd"/>
      <w:r>
        <w:t xml:space="preserve"> </w:t>
      </w:r>
      <w:proofErr w:type="spellStart"/>
      <w:r>
        <w:t>ουδετεροπενία</w:t>
      </w:r>
      <w:proofErr w:type="spellEnd"/>
      <w:r w:rsidRPr="00F267CF">
        <w:t xml:space="preserve">. </w:t>
      </w:r>
      <w:r>
        <w:t>Πιο συγκεκριμένα, τ</w:t>
      </w:r>
      <w:r w:rsidRPr="00F267CF">
        <w:t xml:space="preserve">ο Αμερικανικό Κολέγιο Ρευματολογίας συνιστά τη </w:t>
      </w:r>
      <w:r>
        <w:t xml:space="preserve">θεραπευτική αγωγή με </w:t>
      </w:r>
      <w:r w:rsidRPr="00F267CF">
        <w:t xml:space="preserve">συνέχιση της </w:t>
      </w:r>
      <w:proofErr w:type="spellStart"/>
      <w:r w:rsidRPr="00F267CF">
        <w:t>αζαθειοπρίνης</w:t>
      </w:r>
      <w:proofErr w:type="spellEnd"/>
      <w:r w:rsidRPr="00F267CF">
        <w:t xml:space="preserve"> </w:t>
      </w:r>
      <w:proofErr w:type="spellStart"/>
      <w:r>
        <w:t>καθ’όλη</w:t>
      </w:r>
      <w:proofErr w:type="spellEnd"/>
      <w:r w:rsidRPr="00F267CF">
        <w:t xml:space="preserve"> τη διάρκεια της εγκυμοσύνης </w:t>
      </w:r>
      <w:r>
        <w:t>ωστόσο τη</w:t>
      </w:r>
      <w:r w:rsidRPr="00F267CF">
        <w:t xml:space="preserve"> συνιστά υπό όρους </w:t>
      </w:r>
      <w:r>
        <w:t xml:space="preserve">όταν η μητέρα βρίσκεται στη </w:t>
      </w:r>
      <w:r w:rsidRPr="00F267CF">
        <w:t xml:space="preserve">διάρκεια </w:t>
      </w:r>
      <w:r>
        <w:t>της περιόδου</w:t>
      </w:r>
      <w:r w:rsidRPr="00F267CF">
        <w:t xml:space="preserve"> </w:t>
      </w:r>
      <w:r w:rsidRPr="002522B4">
        <w:t>θηλασμού (</w:t>
      </w:r>
      <w:proofErr w:type="spellStart"/>
      <w:r w:rsidR="002522B4">
        <w:t>Pellkofer</w:t>
      </w:r>
      <w:proofErr w:type="spellEnd"/>
      <w:r w:rsidR="002522B4" w:rsidRPr="002522B4">
        <w:t xml:space="preserve">, </w:t>
      </w:r>
      <w:proofErr w:type="spellStart"/>
      <w:r w:rsidR="002522B4" w:rsidRPr="002522B4">
        <w:t>Krumbholz</w:t>
      </w:r>
      <w:proofErr w:type="spellEnd"/>
      <w:r w:rsidR="002522B4" w:rsidRPr="002522B4">
        <w:t xml:space="preserve">, </w:t>
      </w:r>
      <w:proofErr w:type="spellStart"/>
      <w:r w:rsidR="002522B4" w:rsidRPr="002522B4">
        <w:t>Berthele</w:t>
      </w:r>
      <w:proofErr w:type="spellEnd"/>
      <w:r w:rsidR="002522B4" w:rsidRPr="002522B4">
        <w:t xml:space="preserve">, </w:t>
      </w:r>
      <w:proofErr w:type="spellStart"/>
      <w:r w:rsidR="002522B4" w:rsidRPr="002522B4">
        <w:t>Hemmer</w:t>
      </w:r>
      <w:proofErr w:type="spellEnd"/>
      <w:r w:rsidR="002522B4" w:rsidRPr="002522B4">
        <w:t xml:space="preserve">, </w:t>
      </w:r>
      <w:proofErr w:type="spellStart"/>
      <w:r w:rsidR="002522B4" w:rsidRPr="002522B4">
        <w:t>Gerdes</w:t>
      </w:r>
      <w:proofErr w:type="spellEnd"/>
      <w:r w:rsidR="002522B4" w:rsidRPr="002522B4">
        <w:t xml:space="preserve">, </w:t>
      </w:r>
      <w:proofErr w:type="spellStart"/>
      <w:r w:rsidR="002522B4" w:rsidRPr="002522B4">
        <w:t>Havla</w:t>
      </w:r>
      <w:proofErr w:type="spellEnd"/>
      <w:r w:rsidR="002522B4" w:rsidRPr="002522B4">
        <w:t xml:space="preserve"> </w:t>
      </w:r>
      <w:proofErr w:type="spellStart"/>
      <w:r w:rsidR="002522B4" w:rsidRPr="002522B4">
        <w:t>et</w:t>
      </w:r>
      <w:proofErr w:type="spellEnd"/>
      <w:r w:rsidR="002522B4" w:rsidRPr="002522B4">
        <w:t xml:space="preserve"> </w:t>
      </w:r>
      <w:proofErr w:type="spellStart"/>
      <w:r w:rsidR="002522B4" w:rsidRPr="002522B4">
        <w:t>al</w:t>
      </w:r>
      <w:proofErr w:type="spellEnd"/>
      <w:r w:rsidR="002522B4">
        <w:t xml:space="preserve">., </w:t>
      </w:r>
      <w:r w:rsidR="002522B4" w:rsidRPr="002522B4">
        <w:t>2011)</w:t>
      </w:r>
      <w:r w:rsidR="002522B4">
        <w:t>.</w:t>
      </w:r>
    </w:p>
    <w:p w:rsidR="00D47758" w:rsidRPr="000B0CD6" w:rsidRDefault="00D47758" w:rsidP="00D47758">
      <w:r w:rsidRPr="00954608">
        <w:t xml:space="preserve">Πρόσφατα, η </w:t>
      </w:r>
      <w:proofErr w:type="spellStart"/>
      <w:r w:rsidRPr="00954608">
        <w:t>αζαθειοπρίνη</w:t>
      </w:r>
      <w:proofErr w:type="spellEnd"/>
      <w:r w:rsidRPr="00954608">
        <w:t xml:space="preserve"> αποδείχτηκε κατώτερη του </w:t>
      </w:r>
      <w:proofErr w:type="spellStart"/>
      <w:r w:rsidRPr="00954608">
        <w:t>rituximab</w:t>
      </w:r>
      <w:proofErr w:type="spellEnd"/>
      <w:r w:rsidRPr="00954608">
        <w:t xml:space="preserve"> και </w:t>
      </w:r>
      <w:proofErr w:type="spellStart"/>
      <w:r w:rsidRPr="00954608">
        <w:t>tocilizumab</w:t>
      </w:r>
      <w:proofErr w:type="spellEnd"/>
      <w:r w:rsidRPr="00954608">
        <w:t xml:space="preserve"> σε περιπτώσεις υποτροπών και ως προς την εξέλιξη της αναπηρίας σε μελέτες </w:t>
      </w:r>
      <w:r>
        <w:t>(</w:t>
      </w:r>
      <w:r w:rsidRPr="00BB5801">
        <w:rPr>
          <w:lang w:val="en-US"/>
        </w:rPr>
        <w:t>Tahara</w:t>
      </w:r>
      <w:r>
        <w:t>,</w:t>
      </w:r>
      <w:r w:rsidRPr="000B0CD6">
        <w:t xml:space="preserve"> </w:t>
      </w:r>
      <w:r w:rsidRPr="00BB5801">
        <w:rPr>
          <w:lang w:val="en-US"/>
        </w:rPr>
        <w:t>Oeda</w:t>
      </w:r>
      <w:r>
        <w:t>,</w:t>
      </w:r>
      <w:r w:rsidRPr="000B0CD6">
        <w:t xml:space="preserve"> </w:t>
      </w:r>
      <w:r w:rsidRPr="00BB5801">
        <w:rPr>
          <w:lang w:val="en-US"/>
        </w:rPr>
        <w:t>Okada</w:t>
      </w:r>
      <w:r w:rsidRPr="000B0CD6">
        <w:t xml:space="preserve">, </w:t>
      </w:r>
      <w:r w:rsidRPr="00BB5801">
        <w:rPr>
          <w:lang w:val="en-US"/>
        </w:rPr>
        <w:t>Kiriyama</w:t>
      </w:r>
      <w:r w:rsidRPr="000B0CD6">
        <w:t xml:space="preserve">, </w:t>
      </w:r>
      <w:r w:rsidRPr="00BB5801">
        <w:rPr>
          <w:lang w:val="en-US"/>
        </w:rPr>
        <w:t>Ochi</w:t>
      </w:r>
      <w:r w:rsidRPr="000B0CD6">
        <w:t xml:space="preserve">, </w:t>
      </w:r>
      <w:r w:rsidRPr="00BB5801">
        <w:rPr>
          <w:lang w:val="en-US"/>
        </w:rPr>
        <w:t>Maruyama</w:t>
      </w:r>
      <w:r w:rsidRPr="000B0CD6">
        <w:t xml:space="preserve"> </w:t>
      </w:r>
      <w:r w:rsidRPr="00BB5801">
        <w:rPr>
          <w:lang w:val="en-US"/>
        </w:rPr>
        <w:t>et</w:t>
      </w:r>
      <w:r w:rsidRPr="000B0CD6">
        <w:t xml:space="preserve"> </w:t>
      </w:r>
      <w:r w:rsidRPr="00BB5801">
        <w:rPr>
          <w:lang w:val="en-US"/>
        </w:rPr>
        <w:t>al</w:t>
      </w:r>
      <w:r w:rsidRPr="000B0CD6">
        <w:t xml:space="preserve"> 2020)</w:t>
      </w:r>
      <w:r w:rsidRPr="00954608">
        <w:t>, υποστηρίζοντας με αυτόν τον τρόπο ορισμένες προηγούμενες</w:t>
      </w:r>
      <w:r>
        <w:t xml:space="preserve"> μελέτες περιπτώσεων</w:t>
      </w:r>
      <w:r w:rsidRPr="00954608">
        <w:t xml:space="preserve"> καθώς επίσης και μια ανοιχτή κλινική δοκιμή που δείχνει ότι η </w:t>
      </w:r>
      <w:proofErr w:type="spellStart"/>
      <w:r w:rsidRPr="00954608">
        <w:t>αζαθειοπρίνη</w:t>
      </w:r>
      <w:proofErr w:type="spellEnd"/>
      <w:r w:rsidRPr="00954608">
        <w:t xml:space="preserve"> μπορεί όντως να είναι κατώτερη από το </w:t>
      </w:r>
      <w:r w:rsidRPr="000B0CD6">
        <w:rPr>
          <w:lang w:val="en-US"/>
        </w:rPr>
        <w:t>mycophenolate</w:t>
      </w:r>
      <w:r w:rsidRPr="00CB4E7B">
        <w:t xml:space="preserve"> </w:t>
      </w:r>
      <w:r w:rsidRPr="000B0CD6">
        <w:rPr>
          <w:lang w:val="en-US"/>
        </w:rPr>
        <w:t>mofetil</w:t>
      </w:r>
      <w:r w:rsidRPr="00CB4E7B">
        <w:t xml:space="preserve"> και τη </w:t>
      </w:r>
      <w:r w:rsidRPr="000B0CD6">
        <w:rPr>
          <w:lang w:val="en-US"/>
        </w:rPr>
        <w:lastRenderedPageBreak/>
        <w:t>rituximab</w:t>
      </w:r>
      <w:r w:rsidRPr="00CB4E7B">
        <w:t xml:space="preserve"> </w:t>
      </w:r>
      <w:r w:rsidRPr="00CB4E7B">
        <w:rPr>
          <w:szCs w:val="24"/>
        </w:rPr>
        <w:t>(</w:t>
      </w:r>
      <w:r w:rsidRPr="00BB5801">
        <w:rPr>
          <w:lang w:val="en-US"/>
        </w:rPr>
        <w:t>Jeong</w:t>
      </w:r>
      <w:r w:rsidRPr="00CB4E7B">
        <w:t xml:space="preserve">, </w:t>
      </w:r>
      <w:r w:rsidRPr="00BB5801">
        <w:rPr>
          <w:lang w:val="en-US"/>
        </w:rPr>
        <w:t>Park</w:t>
      </w:r>
      <w:r w:rsidRPr="00CB4E7B">
        <w:t xml:space="preserve">, </w:t>
      </w:r>
      <w:r w:rsidRPr="00BB5801">
        <w:rPr>
          <w:lang w:val="en-US"/>
        </w:rPr>
        <w:t>Kim</w:t>
      </w:r>
      <w:r w:rsidRPr="00CB4E7B">
        <w:t xml:space="preserve">, </w:t>
      </w:r>
      <w:r w:rsidRPr="00BB5801">
        <w:rPr>
          <w:lang w:val="en-US"/>
        </w:rPr>
        <w:t>Hyun</w:t>
      </w:r>
      <w:r w:rsidRPr="00CB4E7B">
        <w:t xml:space="preserve">, </w:t>
      </w:r>
      <w:r w:rsidRPr="00BB5801">
        <w:rPr>
          <w:lang w:val="en-US"/>
        </w:rPr>
        <w:t>Joo</w:t>
      </w:r>
      <w:r>
        <w:t xml:space="preserve"> &amp;</w:t>
      </w:r>
      <w:r w:rsidRPr="000B0CD6">
        <w:t xml:space="preserve"> </w:t>
      </w:r>
      <w:r w:rsidRPr="00BB5801">
        <w:rPr>
          <w:lang w:val="en-US"/>
        </w:rPr>
        <w:t>Kim</w:t>
      </w:r>
      <w:r w:rsidRPr="000B0CD6">
        <w:t xml:space="preserve"> (2016)</w:t>
      </w:r>
      <w:r>
        <w:t xml:space="preserve">; </w:t>
      </w:r>
      <w:r w:rsidRPr="00BB5801">
        <w:rPr>
          <w:lang w:val="en-US"/>
        </w:rPr>
        <w:t>Nikoo</w:t>
      </w:r>
      <w:r w:rsidRPr="000B0CD6">
        <w:t xml:space="preserve">, </w:t>
      </w:r>
      <w:r w:rsidRPr="00BB5801">
        <w:rPr>
          <w:lang w:val="en-US"/>
        </w:rPr>
        <w:t>Badihian</w:t>
      </w:r>
      <w:r w:rsidRPr="000B0CD6">
        <w:t xml:space="preserve">, </w:t>
      </w:r>
      <w:r w:rsidRPr="00BB5801">
        <w:rPr>
          <w:lang w:val="en-US"/>
        </w:rPr>
        <w:t>Shaygannejad</w:t>
      </w:r>
      <w:r w:rsidRPr="000B0CD6">
        <w:t xml:space="preserve">, </w:t>
      </w:r>
      <w:r w:rsidRPr="00BB5801">
        <w:rPr>
          <w:lang w:val="en-US"/>
        </w:rPr>
        <w:t>Asgari</w:t>
      </w:r>
      <w:r>
        <w:t xml:space="preserve"> &amp;</w:t>
      </w:r>
      <w:r w:rsidRPr="000B0CD6">
        <w:t xml:space="preserve"> </w:t>
      </w:r>
      <w:r w:rsidRPr="00BB5801">
        <w:rPr>
          <w:lang w:val="en-US"/>
        </w:rPr>
        <w:t>Ashtari</w:t>
      </w:r>
      <w:r>
        <w:t>,</w:t>
      </w:r>
      <w:r w:rsidRPr="000B0CD6">
        <w:t>2017)</w:t>
      </w:r>
      <w:r>
        <w:t>.</w:t>
      </w:r>
    </w:p>
    <w:p w:rsidR="00D47758" w:rsidRPr="00CB4E7B" w:rsidRDefault="00D47758" w:rsidP="00D47758">
      <w:r w:rsidRPr="00E7557C">
        <w:t xml:space="preserve">Η μέση τιμή υποτροπής σε 36 ασθενείς που προέρχονταν από το Σάο Πάολο, εμφάνισε μείωση από 5,0 σε 1,0 και αυτό έπειτα από τη θεραπεία </w:t>
      </w:r>
      <w:r>
        <w:t>(</w:t>
      </w:r>
      <w:r w:rsidRPr="00BB5801">
        <w:rPr>
          <w:lang w:val="en-US"/>
        </w:rPr>
        <w:t>Bichuetti</w:t>
      </w:r>
      <w:r w:rsidRPr="00CB4E7B">
        <w:t xml:space="preserve">, </w:t>
      </w:r>
      <w:r w:rsidRPr="00BB5801">
        <w:rPr>
          <w:lang w:val="en-US"/>
        </w:rPr>
        <w:t>Lobato</w:t>
      </w:r>
      <w:r w:rsidRPr="00CB4E7B">
        <w:t xml:space="preserve"> </w:t>
      </w:r>
      <w:r w:rsidRPr="00BB5801">
        <w:rPr>
          <w:lang w:val="en-US"/>
        </w:rPr>
        <w:t>Oliveira</w:t>
      </w:r>
      <w:r w:rsidRPr="00CB4E7B">
        <w:t xml:space="preserve">, </w:t>
      </w:r>
      <w:r w:rsidRPr="00BB5801">
        <w:rPr>
          <w:lang w:val="en-US"/>
        </w:rPr>
        <w:t>Oliveira</w:t>
      </w:r>
      <w:r w:rsidRPr="00CB4E7B">
        <w:t xml:space="preserve">, </w:t>
      </w:r>
      <w:r w:rsidRPr="00BB5801">
        <w:rPr>
          <w:lang w:val="en-US"/>
        </w:rPr>
        <w:t>de</w:t>
      </w:r>
      <w:r w:rsidRPr="00CB4E7B">
        <w:t xml:space="preserve"> </w:t>
      </w:r>
      <w:r w:rsidRPr="00BB5801">
        <w:rPr>
          <w:lang w:val="en-US"/>
        </w:rPr>
        <w:t>Amorin</w:t>
      </w:r>
      <w:r>
        <w:t xml:space="preserve"> &amp;</w:t>
      </w:r>
      <w:r w:rsidRPr="00CB4E7B">
        <w:t xml:space="preserve"> </w:t>
      </w:r>
      <w:r w:rsidRPr="00BB5801">
        <w:rPr>
          <w:lang w:val="en-US"/>
        </w:rPr>
        <w:t>Gabbai</w:t>
      </w:r>
      <w:r>
        <w:t xml:space="preserve">, </w:t>
      </w:r>
      <w:r w:rsidRPr="00CB4E7B">
        <w:t>2010)</w:t>
      </w:r>
      <w:r w:rsidRPr="00E7557C">
        <w:t>.</w:t>
      </w:r>
      <w:r>
        <w:t xml:space="preserve"> </w:t>
      </w:r>
      <w:r w:rsidRPr="00E7557C">
        <w:t xml:space="preserve">Από τους 99 ασθενείς οι οποίοι υποβλήθηκαν σε θεραπεία στην κλινική </w:t>
      </w:r>
      <w:proofErr w:type="spellStart"/>
      <w:r w:rsidRPr="00E7557C">
        <w:t>Mayo</w:t>
      </w:r>
      <w:proofErr w:type="spellEnd"/>
      <w:r w:rsidRPr="00E7557C">
        <w:t xml:space="preserve"> έως το 2009, οι 38 διέκοψαν τη θεραπεία λόγω ανεπιθύμητων παρενεργειών ή λόγω της εξέλιξης της δραστηριότητας της νόσου. Οι υπόλοιποι 61 ασθενείς, εμφάνισαν στο ετήσιο ποσοστό υποτροπής μείωση της τάξεως του 1,5 σε 0,2 ενώ οι 26 δεν εμφάνισαν υποτροπές. Το ποσοστό αποτυχίας της </w:t>
      </w:r>
      <w:proofErr w:type="spellStart"/>
      <w:r w:rsidRPr="00E7557C">
        <w:t>αζαθειοπρίνης</w:t>
      </w:r>
      <w:proofErr w:type="spellEnd"/>
      <w:r w:rsidRPr="00E7557C">
        <w:t xml:space="preserve"> αναφέρθηκε αργότερα ότι ήταν υψηλότερο από ό, τι είχε το </w:t>
      </w:r>
      <w:proofErr w:type="spellStart"/>
      <w:r w:rsidRPr="00E7557C">
        <w:t>mycophenolate</w:t>
      </w:r>
      <w:proofErr w:type="spellEnd"/>
      <w:r w:rsidRPr="00E7557C">
        <w:t xml:space="preserve"> </w:t>
      </w:r>
      <w:proofErr w:type="spellStart"/>
      <w:r w:rsidRPr="00E7557C">
        <w:t>mofetil</w:t>
      </w:r>
      <w:proofErr w:type="spellEnd"/>
      <w:r w:rsidRPr="00E7557C">
        <w:t xml:space="preserve"> και το </w:t>
      </w:r>
      <w:proofErr w:type="spellStart"/>
      <w:r w:rsidRPr="00E7557C">
        <w:t>rituximab</w:t>
      </w:r>
      <w:proofErr w:type="spellEnd"/>
      <w:r w:rsidRPr="00CB4E7B">
        <w:rPr>
          <w:szCs w:val="24"/>
        </w:rPr>
        <w:t>.</w:t>
      </w:r>
      <w:r w:rsidRPr="00E7557C">
        <w:t xml:space="preserve"> Στο σύνολο των 100 ασθενών από τη Βραζιλία οι οποίοι παρακολουθήθηκαν για επτά χρόνια, οι 69 δεν εμφάνισαν ανάπτυξη στο βαθμό αναπηρίας, ωστόσο οι 11 ασθενείς διέκοψαν τη θεραπεία εξαιτίας ορισμένων παρενεργειών </w:t>
      </w:r>
      <w:r>
        <w:t>(</w:t>
      </w:r>
      <w:r w:rsidRPr="00BB5801">
        <w:rPr>
          <w:lang w:val="en-US"/>
        </w:rPr>
        <w:t>Bichuetti</w:t>
      </w:r>
      <w:r w:rsidRPr="00CB4E7B">
        <w:t xml:space="preserve">, </w:t>
      </w:r>
      <w:r w:rsidRPr="00BB5801">
        <w:rPr>
          <w:lang w:val="en-US"/>
        </w:rPr>
        <w:t>Perin</w:t>
      </w:r>
      <w:r w:rsidRPr="00CB4E7B">
        <w:t xml:space="preserve">, </w:t>
      </w:r>
      <w:r w:rsidRPr="00BB5801">
        <w:rPr>
          <w:lang w:val="en-US"/>
        </w:rPr>
        <w:t>Souza</w:t>
      </w:r>
      <w:r>
        <w:t>&amp;</w:t>
      </w:r>
      <w:r w:rsidRPr="00CB4E7B">
        <w:t xml:space="preserve"> </w:t>
      </w:r>
      <w:r w:rsidRPr="00BB5801">
        <w:rPr>
          <w:lang w:val="en-US"/>
        </w:rPr>
        <w:t>Oliveira</w:t>
      </w:r>
      <w:r>
        <w:t xml:space="preserve">, </w:t>
      </w:r>
      <w:r w:rsidRPr="00CB4E7B">
        <w:t>2019)</w:t>
      </w:r>
      <w:r w:rsidRPr="00E7557C">
        <w:t xml:space="preserve">. Παρόμοια είναι και τα αποτελέσματα στην περίπτωση 28 Ιρανών ασθενών </w:t>
      </w:r>
      <w:r>
        <w:t>(</w:t>
      </w:r>
      <w:r w:rsidRPr="00BB5801">
        <w:rPr>
          <w:lang w:val="en-US"/>
        </w:rPr>
        <w:t>Sahraian</w:t>
      </w:r>
      <w:r>
        <w:t>,</w:t>
      </w:r>
      <w:r w:rsidRPr="00CB4E7B">
        <w:t xml:space="preserve"> </w:t>
      </w:r>
      <w:r w:rsidRPr="00BB5801">
        <w:rPr>
          <w:lang w:val="en-US"/>
        </w:rPr>
        <w:t>Moinfar</w:t>
      </w:r>
      <w:r w:rsidRPr="00CB4E7B">
        <w:t xml:space="preserve">, </w:t>
      </w:r>
      <w:r w:rsidRPr="00BB5801">
        <w:rPr>
          <w:lang w:val="en-US"/>
        </w:rPr>
        <w:t>Khorramnia</w:t>
      </w:r>
      <w:r w:rsidRPr="00CB4E7B">
        <w:t xml:space="preserve"> </w:t>
      </w:r>
      <w:r>
        <w:t xml:space="preserve">&amp; </w:t>
      </w:r>
      <w:r w:rsidRPr="00BB5801">
        <w:rPr>
          <w:lang w:val="en-US"/>
        </w:rPr>
        <w:t>Ebrahim</w:t>
      </w:r>
      <w:r>
        <w:t xml:space="preserve">, 2010), </w:t>
      </w:r>
      <w:r w:rsidRPr="00E7557C">
        <w:t xml:space="preserve">όπου εκ των 103 θετικών σε AQP4-IgG ασθενών από το Ηνωμένο Βασίλειο, οι 63 παρέμειναν χωρίς υποτροπές για κατά μέσο όρο παρακολούθησης 18 μηνών. Η </w:t>
      </w:r>
      <w:proofErr w:type="spellStart"/>
      <w:r w:rsidRPr="00E7557C">
        <w:t>αζαθειοπρίνη</w:t>
      </w:r>
      <w:proofErr w:type="spellEnd"/>
      <w:r w:rsidRPr="00E7557C">
        <w:t xml:space="preserve"> παρ' όλα αυτά διακόπηκε στους 47 ασθενείς κατά βάση εξαιτίας </w:t>
      </w:r>
      <w:r w:rsidRPr="00CB4E7B">
        <w:t>ορισμένων παρενεργειών</w:t>
      </w:r>
      <w:r w:rsidRPr="00CB4E7B">
        <w:rPr>
          <w:szCs w:val="24"/>
        </w:rPr>
        <w:t xml:space="preserve"> (</w:t>
      </w:r>
      <w:r w:rsidRPr="00BB5801">
        <w:rPr>
          <w:lang w:val="en-US"/>
        </w:rPr>
        <w:t>Elsone</w:t>
      </w:r>
      <w:r w:rsidRPr="00CB4E7B">
        <w:t xml:space="preserve">, </w:t>
      </w:r>
      <w:r w:rsidRPr="00BB5801">
        <w:rPr>
          <w:lang w:val="en-US"/>
        </w:rPr>
        <w:t>Kitley</w:t>
      </w:r>
      <w:r w:rsidRPr="00CB4E7B">
        <w:t xml:space="preserve">, </w:t>
      </w:r>
      <w:r w:rsidRPr="00BB5801">
        <w:rPr>
          <w:lang w:val="en-US"/>
        </w:rPr>
        <w:t>Luppe</w:t>
      </w:r>
      <w:r w:rsidRPr="00CB4E7B">
        <w:t xml:space="preserve">, </w:t>
      </w:r>
      <w:r w:rsidRPr="00BB5801">
        <w:rPr>
          <w:lang w:val="en-US"/>
        </w:rPr>
        <w:t>Lythgoe</w:t>
      </w:r>
      <w:r w:rsidRPr="00CB4E7B">
        <w:t xml:space="preserve">, </w:t>
      </w:r>
      <w:r w:rsidRPr="00BB5801">
        <w:rPr>
          <w:lang w:val="en-US"/>
        </w:rPr>
        <w:t>Mutch</w:t>
      </w:r>
      <w:r w:rsidRPr="00CB4E7B">
        <w:t xml:space="preserve">, </w:t>
      </w:r>
      <w:r w:rsidRPr="00BB5801">
        <w:rPr>
          <w:lang w:val="en-US"/>
        </w:rPr>
        <w:t>Jacob</w:t>
      </w:r>
      <w:r w:rsidRPr="00CB4E7B">
        <w:t xml:space="preserve"> </w:t>
      </w:r>
      <w:r w:rsidRPr="00BB5801">
        <w:rPr>
          <w:lang w:val="en-US"/>
        </w:rPr>
        <w:t>et</w:t>
      </w:r>
      <w:r w:rsidRPr="00CB4E7B">
        <w:t xml:space="preserve"> </w:t>
      </w:r>
      <w:r w:rsidRPr="00BB5801">
        <w:rPr>
          <w:lang w:val="en-US"/>
        </w:rPr>
        <w:t>al</w:t>
      </w:r>
      <w:r>
        <w:t xml:space="preserve"> </w:t>
      </w:r>
      <w:r w:rsidRPr="00CB4E7B">
        <w:t>2014).</w:t>
      </w:r>
    </w:p>
    <w:p w:rsidR="00D47758" w:rsidRDefault="00D47758" w:rsidP="00D47758">
      <w:r>
        <w:t xml:space="preserve">Όσον αφορά την προαναφερθείσα </w:t>
      </w:r>
      <w:proofErr w:type="spellStart"/>
      <w:r w:rsidRPr="00886BF9">
        <w:t>μυκοφαινολάτη</w:t>
      </w:r>
      <w:proofErr w:type="spellEnd"/>
      <w:r w:rsidRPr="00886BF9">
        <w:t xml:space="preserve"> </w:t>
      </w:r>
      <w:proofErr w:type="spellStart"/>
      <w:r w:rsidRPr="00886BF9">
        <w:t>μοφετίλη</w:t>
      </w:r>
      <w:proofErr w:type="spellEnd"/>
      <w:r>
        <w:t>, αυτή αναφέρεται σε έναν</w:t>
      </w:r>
      <w:r w:rsidRPr="00886BF9">
        <w:t xml:space="preserve"> αναστρέψιμο</w:t>
      </w:r>
      <w:r>
        <w:t xml:space="preserve"> αναστολέα</w:t>
      </w:r>
      <w:r w:rsidRPr="00886BF9">
        <w:t xml:space="preserve"> της </w:t>
      </w:r>
      <w:proofErr w:type="spellStart"/>
      <w:r w:rsidRPr="00886BF9">
        <w:t>αφυδρογονάσης</w:t>
      </w:r>
      <w:proofErr w:type="spellEnd"/>
      <w:r w:rsidRPr="00886BF9">
        <w:t xml:space="preserve"> </w:t>
      </w:r>
      <w:proofErr w:type="spellStart"/>
      <w:r w:rsidRPr="00886BF9">
        <w:t>μονοφωσφορικής</w:t>
      </w:r>
      <w:proofErr w:type="spellEnd"/>
      <w:r w:rsidRPr="00886BF9">
        <w:t xml:space="preserve"> </w:t>
      </w:r>
      <w:proofErr w:type="spellStart"/>
      <w:r w:rsidRPr="00886BF9">
        <w:t>ινοσίνης</w:t>
      </w:r>
      <w:proofErr w:type="spellEnd"/>
      <w:r w:rsidRPr="00886BF9">
        <w:t xml:space="preserve">, η οποία εμπλέκεται στη σύνθεση </w:t>
      </w:r>
      <w:proofErr w:type="spellStart"/>
      <w:r w:rsidRPr="00886BF9">
        <w:t>νουκλεοτιδίων</w:t>
      </w:r>
      <w:proofErr w:type="spellEnd"/>
      <w:r w:rsidRPr="00886BF9">
        <w:t xml:space="preserve"> </w:t>
      </w:r>
      <w:proofErr w:type="spellStart"/>
      <w:r w:rsidRPr="00886BF9">
        <w:t>γουανοσίνης</w:t>
      </w:r>
      <w:proofErr w:type="spellEnd"/>
      <w:r w:rsidRPr="00886BF9">
        <w:t xml:space="preserve"> που απαιτείται για τον πο</w:t>
      </w:r>
      <w:r>
        <w:t>λλαπλασιασμό των λεμφοκυττάρων</w:t>
      </w:r>
      <w:r w:rsidRPr="00886BF9">
        <w:t xml:space="preserve">. </w:t>
      </w:r>
      <w:r>
        <w:t>Υπάρχει αναφορά για το έτος</w:t>
      </w:r>
      <w:r w:rsidRPr="00886BF9">
        <w:t xml:space="preserve"> 2006, </w:t>
      </w:r>
      <w:r>
        <w:t>όπου ένα</w:t>
      </w:r>
      <w:r w:rsidRPr="00886BF9">
        <w:t xml:space="preserve"> κορίτσι με </w:t>
      </w:r>
      <w:r>
        <w:t>οπτική νευρομυελίτιδα</w:t>
      </w:r>
      <w:r w:rsidRPr="00886BF9">
        <w:t xml:space="preserve"> αντιμετωπίστηκε με </w:t>
      </w:r>
      <w:proofErr w:type="spellStart"/>
      <w:r w:rsidRPr="00886BF9">
        <w:t>μυκοφαινολάτη</w:t>
      </w:r>
      <w:proofErr w:type="spellEnd"/>
      <w:r w:rsidRPr="00886BF9">
        <w:t xml:space="preserve"> επιτυχώς για δύο χρόνια </w:t>
      </w:r>
      <w:r>
        <w:t>(</w:t>
      </w:r>
      <w:r w:rsidRPr="00BB5801">
        <w:rPr>
          <w:lang w:val="en-US"/>
        </w:rPr>
        <w:t>Falcini</w:t>
      </w:r>
      <w:r w:rsidRPr="00CB4E7B">
        <w:t xml:space="preserve">, </w:t>
      </w:r>
      <w:r w:rsidRPr="00BB5801">
        <w:rPr>
          <w:lang w:val="en-US"/>
        </w:rPr>
        <w:t>Trapani</w:t>
      </w:r>
      <w:r w:rsidRPr="00CB4E7B">
        <w:t xml:space="preserve">, </w:t>
      </w:r>
      <w:r w:rsidRPr="00BB5801">
        <w:rPr>
          <w:lang w:val="en-US"/>
        </w:rPr>
        <w:t>Ricci</w:t>
      </w:r>
      <w:r w:rsidRPr="00CB4E7B">
        <w:t xml:space="preserve">, </w:t>
      </w:r>
      <w:r w:rsidRPr="00BB5801">
        <w:rPr>
          <w:lang w:val="en-US"/>
        </w:rPr>
        <w:t>Resti</w:t>
      </w:r>
      <w:r w:rsidRPr="00CB4E7B">
        <w:t xml:space="preserve">, </w:t>
      </w:r>
      <w:r w:rsidRPr="00BB5801">
        <w:rPr>
          <w:lang w:val="en-US"/>
        </w:rPr>
        <w:t>Simonini</w:t>
      </w:r>
      <w:r>
        <w:t xml:space="preserve"> &amp;</w:t>
      </w:r>
      <w:r w:rsidRPr="00CB4E7B">
        <w:t xml:space="preserve"> </w:t>
      </w:r>
      <w:r w:rsidRPr="00BB5801">
        <w:rPr>
          <w:lang w:val="en-US"/>
        </w:rPr>
        <w:t>de</w:t>
      </w:r>
      <w:r w:rsidRPr="00CB4E7B">
        <w:t xml:space="preserve"> </w:t>
      </w:r>
      <w:r w:rsidRPr="00BB5801">
        <w:rPr>
          <w:lang w:val="en-US"/>
        </w:rPr>
        <w:t>Martino</w:t>
      </w:r>
      <w:r>
        <w:t xml:space="preserve">, </w:t>
      </w:r>
      <w:r w:rsidRPr="00CB4E7B">
        <w:t>2006)</w:t>
      </w:r>
      <w:r w:rsidRPr="00886BF9">
        <w:t xml:space="preserve">. </w:t>
      </w:r>
    </w:p>
    <w:p w:rsidR="00D47758" w:rsidRPr="000453EC" w:rsidRDefault="00D47758" w:rsidP="00D47758">
      <w:r>
        <w:t xml:space="preserve">Σε μία άλλη έρευνα που επιτελέστηκε </w:t>
      </w:r>
      <w:r w:rsidRPr="00886BF9">
        <w:t xml:space="preserve">στην κλινική </w:t>
      </w:r>
      <w:proofErr w:type="spellStart"/>
      <w:r w:rsidRPr="00886BF9">
        <w:t>Mayo</w:t>
      </w:r>
      <w:proofErr w:type="spellEnd"/>
      <w:r>
        <w:t xml:space="preserve">, </w:t>
      </w:r>
      <w:r w:rsidRPr="00886BF9">
        <w:t xml:space="preserve">24 ασθενείς </w:t>
      </w:r>
      <w:r>
        <w:t xml:space="preserve">εντός διαμέσου </w:t>
      </w:r>
      <w:r w:rsidRPr="00886BF9">
        <w:t>δι</w:t>
      </w:r>
      <w:r>
        <w:t>αστήματος</w:t>
      </w:r>
      <w:r w:rsidRPr="00886BF9">
        <w:t xml:space="preserve"> 28 μηνών, </w:t>
      </w:r>
      <w:r>
        <w:t>εμφάνισαν μείωση στη</w:t>
      </w:r>
      <w:r w:rsidRPr="00886BF9">
        <w:t xml:space="preserve"> διάμεση ARR από 1,3 σε 0,09 </w:t>
      </w:r>
      <w:r>
        <w:t>καθώς επίσης,</w:t>
      </w:r>
      <w:r w:rsidRPr="00886BF9">
        <w:t xml:space="preserve"> η αναπηρία σταθεροποιήθηκε</w:t>
      </w:r>
      <w:r>
        <w:t xml:space="preserve"> πλειοψηφικά</w:t>
      </w:r>
      <w:r w:rsidRPr="00886BF9">
        <w:t xml:space="preserve"> </w:t>
      </w:r>
      <w:r>
        <w:t>και</w:t>
      </w:r>
      <w:r w:rsidRPr="00886BF9">
        <w:t xml:space="preserve"> </w:t>
      </w:r>
      <w:r>
        <w:t>μειώθηκε σε 22 ασθενείς. Ανάμεσα στους 28 ασθενείς οι οποίοι</w:t>
      </w:r>
      <w:r w:rsidRPr="00886BF9">
        <w:t xml:space="preserve"> υποβλήθηκαν σε θεραπεία στο νοσοκομείο </w:t>
      </w:r>
      <w:proofErr w:type="spellStart"/>
      <w:r w:rsidRPr="00886BF9">
        <w:t>Johns</w:t>
      </w:r>
      <w:proofErr w:type="spellEnd"/>
      <w:r w:rsidRPr="00886BF9">
        <w:t xml:space="preserve"> </w:t>
      </w:r>
      <w:proofErr w:type="spellStart"/>
      <w:r w:rsidRPr="00886BF9">
        <w:t>Hopkins</w:t>
      </w:r>
      <w:proofErr w:type="spellEnd"/>
      <w:r>
        <w:t xml:space="preserve"> και</w:t>
      </w:r>
      <w:r w:rsidRPr="00886BF9">
        <w:t xml:space="preserve"> στην κλινική </w:t>
      </w:r>
      <w:proofErr w:type="spellStart"/>
      <w:r w:rsidRPr="00886BF9">
        <w:t>Mayo</w:t>
      </w:r>
      <w:proofErr w:type="spellEnd"/>
      <w:r>
        <w:t>,</w:t>
      </w:r>
      <w:r w:rsidRPr="00886BF9">
        <w:t xml:space="preserve"> το ποσοστό ανεπάρκειας (36%) ήταν παρόμοιο με αυτό </w:t>
      </w:r>
      <w:r>
        <w:t xml:space="preserve">που προέκυψε από τη χρήση </w:t>
      </w:r>
      <w:r w:rsidRPr="00886BF9">
        <w:t xml:space="preserve">της </w:t>
      </w:r>
      <w:proofErr w:type="spellStart"/>
      <w:r w:rsidRPr="00886BF9">
        <w:t>ριτουξιμάμπης</w:t>
      </w:r>
      <w:proofErr w:type="spellEnd"/>
      <w:r w:rsidRPr="00886BF9">
        <w:t xml:space="preserve"> και </w:t>
      </w:r>
      <w:r>
        <w:t>σε κάθε περίπτωση ήταν καλύτερο από ότι ήταν στην περίπτωση της</w:t>
      </w:r>
      <w:r w:rsidRPr="00886BF9">
        <w:t xml:space="preserve"> </w:t>
      </w:r>
      <w:proofErr w:type="spellStart"/>
      <w:r w:rsidRPr="00886BF9">
        <w:t>αζαθειοπρίνη</w:t>
      </w:r>
      <w:r>
        <w:t>ς</w:t>
      </w:r>
      <w:proofErr w:type="spellEnd"/>
      <w:r w:rsidRPr="00886BF9">
        <w:t xml:space="preserve"> </w:t>
      </w:r>
      <w:r>
        <w:t>(</w:t>
      </w:r>
      <w:r w:rsidRPr="00BB5801">
        <w:rPr>
          <w:lang w:val="en-US"/>
        </w:rPr>
        <w:t>Mealy</w:t>
      </w:r>
      <w:r w:rsidRPr="00CB4E7B">
        <w:t xml:space="preserve">, </w:t>
      </w:r>
      <w:r w:rsidRPr="00BB5801">
        <w:rPr>
          <w:lang w:val="en-US"/>
        </w:rPr>
        <w:t>Wingerchuk</w:t>
      </w:r>
      <w:r w:rsidRPr="00CB4E7B">
        <w:t xml:space="preserve">, </w:t>
      </w:r>
      <w:r w:rsidRPr="00BB5801">
        <w:rPr>
          <w:lang w:val="en-US"/>
        </w:rPr>
        <w:t>Palace</w:t>
      </w:r>
      <w:r w:rsidRPr="00CB4E7B">
        <w:t xml:space="preserve">, </w:t>
      </w:r>
      <w:r w:rsidRPr="00BB5801">
        <w:rPr>
          <w:lang w:val="en-US"/>
        </w:rPr>
        <w:t>Greenberg</w:t>
      </w:r>
      <w:r>
        <w:t xml:space="preserve"> &amp;</w:t>
      </w:r>
      <w:r w:rsidRPr="00CB4E7B">
        <w:t xml:space="preserve"> </w:t>
      </w:r>
      <w:r w:rsidRPr="00BB5801">
        <w:rPr>
          <w:lang w:val="en-US"/>
        </w:rPr>
        <w:t>Levy</w:t>
      </w:r>
      <w:r>
        <w:t xml:space="preserve">, </w:t>
      </w:r>
      <w:r w:rsidRPr="00CB4E7B">
        <w:t>2014)</w:t>
      </w:r>
      <w:r w:rsidRPr="00886BF9">
        <w:t xml:space="preserve">. </w:t>
      </w:r>
      <w:r>
        <w:t xml:space="preserve">Σε μελέτη επιβεβαιώθηκαν </w:t>
      </w:r>
      <w:r w:rsidRPr="00886BF9">
        <w:t xml:space="preserve">τα </w:t>
      </w:r>
      <w:r>
        <w:t xml:space="preserve">προαναφερθέντα </w:t>
      </w:r>
      <w:r w:rsidRPr="00886BF9">
        <w:t xml:space="preserve">αποτελέσματα, </w:t>
      </w:r>
      <w:r>
        <w:t xml:space="preserve">όπου </w:t>
      </w:r>
      <w:r w:rsidRPr="00886BF9">
        <w:t xml:space="preserve">36 από τους 62 Κινέζους ασθενείς </w:t>
      </w:r>
      <w:r>
        <w:t>δεν εμφάνισαν</w:t>
      </w:r>
      <w:r w:rsidRPr="00886BF9">
        <w:t xml:space="preserve"> υποτροπές για διάμεσο</w:t>
      </w:r>
      <w:r>
        <w:t xml:space="preserve"> χρόνο 1,5 έτη</w:t>
      </w:r>
      <w:r w:rsidRPr="00886BF9">
        <w:t xml:space="preserve"> </w:t>
      </w:r>
      <w:r>
        <w:t>(</w:t>
      </w:r>
      <w:r w:rsidRPr="00BB5801">
        <w:rPr>
          <w:lang w:val="en-US"/>
        </w:rPr>
        <w:t>Chen</w:t>
      </w:r>
      <w:r w:rsidRPr="000453EC">
        <w:t xml:space="preserve">, </w:t>
      </w:r>
      <w:r w:rsidRPr="00BB5801">
        <w:rPr>
          <w:lang w:val="en-US"/>
        </w:rPr>
        <w:t>Zhang</w:t>
      </w:r>
      <w:r w:rsidRPr="000453EC">
        <w:t xml:space="preserve">, </w:t>
      </w:r>
      <w:r w:rsidRPr="00BB5801">
        <w:rPr>
          <w:lang w:val="en-US"/>
        </w:rPr>
        <w:t>Shi</w:t>
      </w:r>
      <w:r w:rsidRPr="000453EC">
        <w:t xml:space="preserve">, </w:t>
      </w:r>
      <w:r w:rsidRPr="00BB5801">
        <w:rPr>
          <w:lang w:val="en-US"/>
        </w:rPr>
        <w:t>Feng</w:t>
      </w:r>
      <w:r w:rsidRPr="000453EC">
        <w:t xml:space="preserve">, </w:t>
      </w:r>
      <w:r w:rsidRPr="00BB5801">
        <w:rPr>
          <w:lang w:val="en-US"/>
        </w:rPr>
        <w:t>Yao</w:t>
      </w:r>
      <w:r w:rsidRPr="000453EC">
        <w:t xml:space="preserve">, </w:t>
      </w:r>
      <w:r w:rsidRPr="00BB5801">
        <w:rPr>
          <w:lang w:val="en-US"/>
        </w:rPr>
        <w:t>Xie</w:t>
      </w:r>
      <w:r w:rsidRPr="000453EC">
        <w:t xml:space="preserve"> </w:t>
      </w:r>
      <w:r w:rsidRPr="00BB5801">
        <w:rPr>
          <w:lang w:val="en-US"/>
        </w:rPr>
        <w:t>et</w:t>
      </w:r>
      <w:r w:rsidRPr="000453EC">
        <w:t xml:space="preserve"> </w:t>
      </w:r>
      <w:r w:rsidRPr="00BB5801">
        <w:rPr>
          <w:lang w:val="en-US"/>
        </w:rPr>
        <w:t>al</w:t>
      </w:r>
      <w:r>
        <w:t xml:space="preserve"> </w:t>
      </w:r>
      <w:r w:rsidRPr="000453EC">
        <w:lastRenderedPageBreak/>
        <w:t>2016)</w:t>
      </w:r>
      <w:r w:rsidRPr="00886BF9">
        <w:t xml:space="preserve">. </w:t>
      </w:r>
      <w:r>
        <w:t xml:space="preserve">Μέσα από την ερευνητική ανασκόπηση φαίνεται πως </w:t>
      </w:r>
      <w:r w:rsidRPr="00886BF9">
        <w:t xml:space="preserve">η αποτελεσματικότητα της </w:t>
      </w:r>
      <w:proofErr w:type="spellStart"/>
      <w:r w:rsidRPr="00886BF9">
        <w:t>μυκοφαινολάτης</w:t>
      </w:r>
      <w:proofErr w:type="spellEnd"/>
      <w:r w:rsidRPr="00886BF9">
        <w:t xml:space="preserve"> </w:t>
      </w:r>
      <w:proofErr w:type="spellStart"/>
      <w:r w:rsidRPr="00886BF9">
        <w:t>μοφετίλ</w:t>
      </w:r>
      <w:proofErr w:type="spellEnd"/>
      <w:r w:rsidRPr="00886BF9">
        <w:t xml:space="preserve"> είναι συγκρίσιμη με τη </w:t>
      </w:r>
      <w:proofErr w:type="spellStart"/>
      <w:r w:rsidRPr="00886BF9">
        <w:t>ριτουξιμάμπη</w:t>
      </w:r>
      <w:proofErr w:type="spellEnd"/>
      <w:r w:rsidRPr="00886BF9">
        <w:t xml:space="preserve"> και </w:t>
      </w:r>
      <w:r>
        <w:t xml:space="preserve">μάλιστα </w:t>
      </w:r>
      <w:r w:rsidRPr="00886BF9">
        <w:t xml:space="preserve">η </w:t>
      </w:r>
      <w:proofErr w:type="spellStart"/>
      <w:r w:rsidRPr="00886BF9">
        <w:t>μυκοφαινολάτη</w:t>
      </w:r>
      <w:proofErr w:type="spellEnd"/>
      <w:r w:rsidRPr="00886BF9">
        <w:t xml:space="preserve"> </w:t>
      </w:r>
      <w:proofErr w:type="spellStart"/>
      <w:r w:rsidRPr="00886BF9">
        <w:t>μοφετίλ</w:t>
      </w:r>
      <w:proofErr w:type="spellEnd"/>
      <w:r w:rsidRPr="00886BF9">
        <w:t xml:space="preserve"> </w:t>
      </w:r>
      <w:r>
        <w:t>φάνηκε να είναι</w:t>
      </w:r>
      <w:r w:rsidRPr="00886BF9">
        <w:t xml:space="preserve"> πιο ανεκτή </w:t>
      </w:r>
      <w:r>
        <w:t>κατά την</w:t>
      </w:r>
      <w:r w:rsidRPr="00886BF9">
        <w:t xml:space="preserve"> μετά-ανάλυση </w:t>
      </w:r>
      <w:r w:rsidRPr="000453EC">
        <w:t>(</w:t>
      </w:r>
      <w:r w:rsidRPr="00BB5801">
        <w:rPr>
          <w:lang w:val="en-US"/>
        </w:rPr>
        <w:t>Huang</w:t>
      </w:r>
      <w:r w:rsidRPr="000453EC">
        <w:t xml:space="preserve">, </w:t>
      </w:r>
      <w:r w:rsidRPr="00BB5801">
        <w:rPr>
          <w:lang w:val="en-US"/>
        </w:rPr>
        <w:t>Wang</w:t>
      </w:r>
      <w:r w:rsidRPr="000453EC">
        <w:t xml:space="preserve">, </w:t>
      </w:r>
      <w:r w:rsidRPr="00BB5801">
        <w:rPr>
          <w:lang w:val="en-US"/>
        </w:rPr>
        <w:t>Zhang</w:t>
      </w:r>
      <w:r w:rsidRPr="000453EC">
        <w:t xml:space="preserve">, </w:t>
      </w:r>
      <w:r w:rsidRPr="00BB5801">
        <w:rPr>
          <w:lang w:val="en-US"/>
        </w:rPr>
        <w:t>Zhou</w:t>
      </w:r>
      <w:r w:rsidRPr="000453EC">
        <w:t xml:space="preserve">, </w:t>
      </w:r>
      <w:r w:rsidRPr="00BB5801">
        <w:rPr>
          <w:lang w:val="en-US"/>
        </w:rPr>
        <w:t>Zhang</w:t>
      </w:r>
      <w:r w:rsidRPr="000453EC">
        <w:t xml:space="preserve"> &amp; </w:t>
      </w:r>
      <w:r w:rsidRPr="00BB5801">
        <w:rPr>
          <w:lang w:val="en-US"/>
        </w:rPr>
        <w:t>Quan</w:t>
      </w:r>
      <w:r w:rsidRPr="000453EC">
        <w:t>, 2019).</w:t>
      </w:r>
    </w:p>
    <w:p w:rsidR="00D47758" w:rsidRPr="000453EC" w:rsidRDefault="00D47758" w:rsidP="00D47758">
      <w:r w:rsidRPr="00EF7369">
        <w:t xml:space="preserve">Η </w:t>
      </w:r>
      <w:proofErr w:type="spellStart"/>
      <w:r w:rsidRPr="00EF7369">
        <w:t>μεθοτρεξάτη</w:t>
      </w:r>
      <w:proofErr w:type="spellEnd"/>
      <w:r w:rsidRPr="00EF7369">
        <w:t xml:space="preserve"> είναι ένα παράγωγο </w:t>
      </w:r>
      <w:proofErr w:type="spellStart"/>
      <w:r w:rsidRPr="00EF7369">
        <w:t>φολικού</w:t>
      </w:r>
      <w:proofErr w:type="spellEnd"/>
      <w:r w:rsidRPr="00EF7369">
        <w:t xml:space="preserve"> που αναστέλλει τη σύνθεση </w:t>
      </w:r>
      <w:proofErr w:type="spellStart"/>
      <w:r w:rsidRPr="00EF7369">
        <w:t>νουκλεοτιδίων</w:t>
      </w:r>
      <w:proofErr w:type="spellEnd"/>
      <w:r w:rsidRPr="00EF7369">
        <w:t>. Σε μια μελέτη 14 οροθετικών ασθενών AQP4-IgG που ακολούθησαν</w:t>
      </w:r>
      <w:r>
        <w:t xml:space="preserve"> την θεραπεία αυτού του είδους</w:t>
      </w:r>
      <w:r w:rsidRPr="00EF7369">
        <w:t xml:space="preserve"> για διάμεσο </w:t>
      </w:r>
      <w:r>
        <w:t>χρόνο 21,5 μήνες</w:t>
      </w:r>
      <w:r w:rsidRPr="00EF7369">
        <w:t xml:space="preserve">, η διάμεση ARR μειώθηκε από 1,4 σε 0,2 και το 43% των ασθενών </w:t>
      </w:r>
      <w:r>
        <w:t>δεν εμφάνισε</w:t>
      </w:r>
      <w:r w:rsidRPr="00EF7369">
        <w:t xml:space="preserve"> υποτροπές </w:t>
      </w:r>
      <w:r w:rsidRPr="000453EC">
        <w:t>(</w:t>
      </w:r>
      <w:r w:rsidRPr="00BB5801">
        <w:rPr>
          <w:lang w:val="en-US"/>
        </w:rPr>
        <w:t>Kitley</w:t>
      </w:r>
      <w:r w:rsidRPr="000453EC">
        <w:t xml:space="preserve">, </w:t>
      </w:r>
      <w:r w:rsidRPr="00BB5801">
        <w:rPr>
          <w:lang w:val="en-US"/>
        </w:rPr>
        <w:t>Elsone</w:t>
      </w:r>
      <w:r w:rsidRPr="000453EC">
        <w:t xml:space="preserve">, </w:t>
      </w:r>
      <w:r w:rsidRPr="00BB5801">
        <w:rPr>
          <w:lang w:val="en-US"/>
        </w:rPr>
        <w:t>George</w:t>
      </w:r>
      <w:r w:rsidRPr="000453EC">
        <w:t xml:space="preserve">, </w:t>
      </w:r>
      <w:r w:rsidRPr="00BB5801">
        <w:rPr>
          <w:lang w:val="en-US"/>
        </w:rPr>
        <w:t>Waters</w:t>
      </w:r>
      <w:r w:rsidRPr="000453EC">
        <w:t xml:space="preserve">, </w:t>
      </w:r>
      <w:r w:rsidRPr="00BB5801">
        <w:rPr>
          <w:lang w:val="en-US"/>
        </w:rPr>
        <w:t>Woodhall</w:t>
      </w:r>
      <w:r w:rsidRPr="000453EC">
        <w:t xml:space="preserve">, </w:t>
      </w:r>
      <w:r w:rsidRPr="00BB5801">
        <w:rPr>
          <w:lang w:val="en-US"/>
        </w:rPr>
        <w:t>Vincent</w:t>
      </w:r>
      <w:r w:rsidRPr="000453EC">
        <w:t xml:space="preserve"> </w:t>
      </w:r>
      <w:r w:rsidRPr="00BB5801">
        <w:rPr>
          <w:lang w:val="en-US"/>
        </w:rPr>
        <w:t>et</w:t>
      </w:r>
      <w:r w:rsidRPr="000453EC">
        <w:t xml:space="preserve"> </w:t>
      </w:r>
      <w:r w:rsidRPr="00BB5801">
        <w:rPr>
          <w:lang w:val="en-US"/>
        </w:rPr>
        <w:t>al</w:t>
      </w:r>
      <w:r w:rsidRPr="000453EC">
        <w:t>, 2014)</w:t>
      </w:r>
      <w:r w:rsidRPr="00EF7369">
        <w:t xml:space="preserve">. Η αναπηρία σταθεροποιήθηκε </w:t>
      </w:r>
      <w:r>
        <w:t>και</w:t>
      </w:r>
      <w:r w:rsidRPr="00EF7369">
        <w:t xml:space="preserve"> </w:t>
      </w:r>
      <w:r>
        <w:t>εμφανίστηκε βελτίωση σ</w:t>
      </w:r>
      <w:r w:rsidRPr="00EF7369">
        <w:t xml:space="preserve">το 79% </w:t>
      </w:r>
      <w:r>
        <w:t>των ασθενών. Κ</w:t>
      </w:r>
      <w:r w:rsidRPr="00EF7369">
        <w:t xml:space="preserve">ανένας ασθενής δεν διέκοψε τη θεραπεία </w:t>
      </w:r>
      <w:r>
        <w:t>εξαιτίας ανεπιθύμητων παρενεργειών και</w:t>
      </w:r>
      <w:r w:rsidRPr="00EF7369">
        <w:t xml:space="preserve"> δυσμενών επιπτώσεων</w:t>
      </w:r>
      <w:r>
        <w:t>. Τέλος, σ</w:t>
      </w:r>
      <w:r w:rsidRPr="00EF7369">
        <w:t xml:space="preserve">ε </w:t>
      </w:r>
      <w:r>
        <w:t>9</w:t>
      </w:r>
      <w:r w:rsidRPr="00EF7369">
        <w:t xml:space="preserve"> ασθενείς, το μέσο ARR μειώθηκε από 3,1 σε 1,1 </w:t>
      </w:r>
      <w:r>
        <w:t>έπειτα από</w:t>
      </w:r>
      <w:r w:rsidRPr="00EF7369">
        <w:t xml:space="preserve"> τη θεραπεία</w:t>
      </w:r>
      <w:r w:rsidRPr="000453EC">
        <w:t xml:space="preserve"> (</w:t>
      </w:r>
      <w:r w:rsidRPr="00BB5801">
        <w:rPr>
          <w:lang w:val="en-US"/>
        </w:rPr>
        <w:t>RamanathanS</w:t>
      </w:r>
      <w:r w:rsidRPr="000453EC">
        <w:t xml:space="preserve">, </w:t>
      </w:r>
      <w:r w:rsidRPr="00BB5801">
        <w:rPr>
          <w:lang w:val="en-US"/>
        </w:rPr>
        <w:t>Malhotra</w:t>
      </w:r>
      <w:r w:rsidRPr="000453EC">
        <w:t xml:space="preserve"> &amp; </w:t>
      </w:r>
      <w:r w:rsidRPr="00BB5801">
        <w:rPr>
          <w:lang w:val="en-US"/>
        </w:rPr>
        <w:t>Scott</w:t>
      </w:r>
      <w:r w:rsidRPr="000453EC">
        <w:t>, 2014).</w:t>
      </w:r>
    </w:p>
    <w:p w:rsidR="00D47758" w:rsidRPr="00EF125C" w:rsidRDefault="00D47758" w:rsidP="00D47758">
      <w:r w:rsidRPr="00526326">
        <w:t xml:space="preserve">Η </w:t>
      </w:r>
      <w:proofErr w:type="spellStart"/>
      <w:r w:rsidRPr="00526326">
        <w:t>μιτοξαντρόνη</w:t>
      </w:r>
      <w:proofErr w:type="spellEnd"/>
      <w:r w:rsidRPr="00526326">
        <w:t xml:space="preserve"> </w:t>
      </w:r>
      <w:r>
        <w:t>φαίνεται πως επεμβαίνει</w:t>
      </w:r>
      <w:r w:rsidRPr="00526326">
        <w:t xml:space="preserve"> στο DNA προκαλώντας διασταυρούμενους συνδέσμους </w:t>
      </w:r>
      <w:r>
        <w:t xml:space="preserve">καθώς </w:t>
      </w:r>
      <w:r w:rsidRPr="00526326">
        <w:t xml:space="preserve">και σπασίματα κλώνων. </w:t>
      </w:r>
      <w:r>
        <w:t xml:space="preserve">Σε μελέτη του </w:t>
      </w:r>
      <w:r w:rsidRPr="00526326">
        <w:t xml:space="preserve">2006, αναφέρθηκε </w:t>
      </w:r>
      <w:r>
        <w:t>πως</w:t>
      </w:r>
      <w:r w:rsidRPr="00526326">
        <w:t xml:space="preserve"> </w:t>
      </w:r>
      <w:r>
        <w:t>5</w:t>
      </w:r>
      <w:r w:rsidRPr="00526326">
        <w:t xml:space="preserve"> ασθενείς </w:t>
      </w:r>
      <w:r>
        <w:t>οι οποίοι</w:t>
      </w:r>
      <w:r w:rsidRPr="00526326">
        <w:t xml:space="preserve"> παρακολούθησαν </w:t>
      </w:r>
      <w:r>
        <w:t xml:space="preserve">επί </w:t>
      </w:r>
      <w:r w:rsidRPr="00526326">
        <w:t xml:space="preserve">δύο </w:t>
      </w:r>
      <w:r>
        <w:t xml:space="preserve">έτη θεραπευτική αγωγή με βάση τη </w:t>
      </w:r>
      <w:proofErr w:type="spellStart"/>
      <w:r>
        <w:t>μιτοξαντρόνη</w:t>
      </w:r>
      <w:proofErr w:type="spellEnd"/>
      <w:r>
        <w:t>,</w:t>
      </w:r>
      <w:r w:rsidRPr="00526326">
        <w:t xml:space="preserve"> </w:t>
      </w:r>
      <w:r>
        <w:t>εμφάνισαν</w:t>
      </w:r>
      <w:r w:rsidRPr="00526326">
        <w:t xml:space="preserve"> δύο υποτροπές</w:t>
      </w:r>
      <w:r w:rsidRPr="000453EC">
        <w:t xml:space="preserve"> (</w:t>
      </w:r>
      <w:r w:rsidRPr="00BB5801">
        <w:rPr>
          <w:lang w:val="en-US"/>
        </w:rPr>
        <w:t>Weinstock</w:t>
      </w:r>
      <w:r w:rsidRPr="000453EC">
        <w:t>-</w:t>
      </w:r>
      <w:r w:rsidRPr="00BB5801">
        <w:rPr>
          <w:lang w:val="en-US"/>
        </w:rPr>
        <w:t>Guttman</w:t>
      </w:r>
      <w:r w:rsidRPr="000453EC">
        <w:t xml:space="preserve">, </w:t>
      </w:r>
      <w:r w:rsidRPr="00BB5801">
        <w:rPr>
          <w:lang w:val="en-US"/>
        </w:rPr>
        <w:t>Ramanathan</w:t>
      </w:r>
      <w:r w:rsidRPr="000453EC">
        <w:t xml:space="preserve">, </w:t>
      </w:r>
      <w:r w:rsidRPr="00BB5801">
        <w:rPr>
          <w:lang w:val="en-US"/>
        </w:rPr>
        <w:t>Lincoff</w:t>
      </w:r>
      <w:r w:rsidRPr="000453EC">
        <w:t xml:space="preserve">, </w:t>
      </w:r>
      <w:r w:rsidRPr="00BB5801">
        <w:rPr>
          <w:lang w:val="en-US"/>
        </w:rPr>
        <w:t>Napoli</w:t>
      </w:r>
      <w:r w:rsidRPr="000453EC">
        <w:t xml:space="preserve">, </w:t>
      </w:r>
      <w:r w:rsidRPr="00BB5801">
        <w:rPr>
          <w:lang w:val="en-US"/>
        </w:rPr>
        <w:t>Sharma</w:t>
      </w:r>
      <w:r w:rsidRPr="000453EC">
        <w:t xml:space="preserve">, </w:t>
      </w:r>
      <w:r w:rsidRPr="00BB5801">
        <w:rPr>
          <w:lang w:val="en-US"/>
        </w:rPr>
        <w:t>Feichter</w:t>
      </w:r>
      <w:r w:rsidRPr="000453EC">
        <w:t xml:space="preserve"> </w:t>
      </w:r>
      <w:r w:rsidRPr="00BB5801">
        <w:rPr>
          <w:lang w:val="en-US"/>
        </w:rPr>
        <w:t>et</w:t>
      </w:r>
      <w:r w:rsidRPr="000453EC">
        <w:t xml:space="preserve"> </w:t>
      </w:r>
      <w:r w:rsidRPr="00BB5801">
        <w:rPr>
          <w:lang w:val="en-US"/>
        </w:rPr>
        <w:t>al</w:t>
      </w:r>
      <w:r w:rsidRPr="000453EC">
        <w:t>., 2006)</w:t>
      </w:r>
      <w:r w:rsidRPr="00526326">
        <w:t>. Σε 20 ασθενείς</w:t>
      </w:r>
      <w:r>
        <w:t xml:space="preserve"> οι</w:t>
      </w:r>
      <w:r w:rsidRPr="00526326">
        <w:t xml:space="preserve"> </w:t>
      </w:r>
      <w:r>
        <w:t xml:space="preserve">οποίοι </w:t>
      </w:r>
      <w:r w:rsidRPr="00526326">
        <w:t xml:space="preserve">ακολούθησαν </w:t>
      </w:r>
      <w:r>
        <w:t>την αγωγή με</w:t>
      </w:r>
      <w:r w:rsidRPr="00526326">
        <w:t xml:space="preserve"> μέσο όρο </w:t>
      </w:r>
      <w:r>
        <w:t xml:space="preserve">τους </w:t>
      </w:r>
      <w:r w:rsidRPr="00526326">
        <w:t xml:space="preserve">41 </w:t>
      </w:r>
      <w:r>
        <w:t>μήνες</w:t>
      </w:r>
      <w:r w:rsidRPr="00526326">
        <w:t xml:space="preserve"> </w:t>
      </w:r>
      <w:r>
        <w:t>και</w:t>
      </w:r>
      <w:r w:rsidRPr="00526326">
        <w:t xml:space="preserve"> έλαβαν αθροιστική δόση 120 </w:t>
      </w:r>
      <w:proofErr w:type="spellStart"/>
      <w:r w:rsidRPr="00526326">
        <w:t>mg</w:t>
      </w:r>
      <w:proofErr w:type="spellEnd"/>
      <w:r w:rsidRPr="00526326">
        <w:t xml:space="preserve"> / m2</w:t>
      </w:r>
      <w:r>
        <w:t xml:space="preserve"> φάνηκε πως</w:t>
      </w:r>
      <w:r w:rsidRPr="00526326">
        <w:t xml:space="preserve"> ο ρυθμός υποτροπής μειώθηκε κατά 75% </w:t>
      </w:r>
      <w:r>
        <w:t>όπως επίσης και</w:t>
      </w:r>
      <w:r w:rsidRPr="00526326">
        <w:t xml:space="preserve"> η αναπηρία σταθεροποιήθηκε ή βελτιώθηκε σε όλους τους ασθενείς</w:t>
      </w:r>
      <w:r w:rsidRPr="000453EC">
        <w:t xml:space="preserve"> (</w:t>
      </w:r>
      <w:r w:rsidRPr="000453EC">
        <w:rPr>
          <w:lang w:val="en-US"/>
        </w:rPr>
        <w:t>Kim</w:t>
      </w:r>
      <w:r w:rsidRPr="000453EC">
        <w:t xml:space="preserve">, </w:t>
      </w:r>
      <w:r w:rsidRPr="000453EC">
        <w:rPr>
          <w:lang w:val="en-US"/>
        </w:rPr>
        <w:t>Kim</w:t>
      </w:r>
      <w:r w:rsidRPr="000453EC">
        <w:t xml:space="preserve">, </w:t>
      </w:r>
      <w:r w:rsidRPr="000453EC">
        <w:rPr>
          <w:lang w:val="en-US"/>
        </w:rPr>
        <w:t>Park</w:t>
      </w:r>
      <w:r w:rsidRPr="000453EC">
        <w:t xml:space="preserve">, </w:t>
      </w:r>
      <w:r w:rsidRPr="000453EC">
        <w:rPr>
          <w:lang w:val="en-US"/>
        </w:rPr>
        <w:t>Sohn</w:t>
      </w:r>
      <w:r w:rsidRPr="000453EC">
        <w:t xml:space="preserve">, </w:t>
      </w:r>
      <w:r w:rsidRPr="000453EC">
        <w:rPr>
          <w:lang w:val="en-US"/>
        </w:rPr>
        <w:t>Li</w:t>
      </w:r>
      <w:r w:rsidRPr="000453EC">
        <w:t xml:space="preserve">, </w:t>
      </w:r>
      <w:r w:rsidRPr="000453EC">
        <w:rPr>
          <w:lang w:val="en-US"/>
        </w:rPr>
        <w:t>Kim</w:t>
      </w:r>
      <w:r w:rsidRPr="000453EC">
        <w:t>, 2011)</w:t>
      </w:r>
      <w:r w:rsidRPr="00EF125C">
        <w:t>.</w:t>
      </w:r>
    </w:p>
    <w:p w:rsidR="00D47758" w:rsidRDefault="00D47758" w:rsidP="00D47758">
      <w:r w:rsidRPr="005236FB">
        <w:t xml:space="preserve">Η </w:t>
      </w:r>
      <w:proofErr w:type="spellStart"/>
      <w:r w:rsidRPr="005236FB">
        <w:t>κυκλοσπορίνη</w:t>
      </w:r>
      <w:proofErr w:type="spellEnd"/>
      <w:r w:rsidRPr="005236FB">
        <w:t xml:space="preserve"> Α είναι ένα φυσικό </w:t>
      </w:r>
      <w:proofErr w:type="spellStart"/>
      <w:r w:rsidRPr="005236FB">
        <w:t>ανοσοκατασταλτικό</w:t>
      </w:r>
      <w:proofErr w:type="spellEnd"/>
      <w:r w:rsidRPr="005236FB">
        <w:t xml:space="preserve"> </w:t>
      </w:r>
      <w:r>
        <w:t>το οποίο</w:t>
      </w:r>
      <w:r w:rsidRPr="005236FB">
        <w:t xml:space="preserve"> απομονώνεται από τον μύκητα </w:t>
      </w:r>
      <w:proofErr w:type="spellStart"/>
      <w:r w:rsidRPr="005236FB">
        <w:t>Beauveria</w:t>
      </w:r>
      <w:proofErr w:type="spellEnd"/>
      <w:r w:rsidRPr="005236FB">
        <w:t xml:space="preserve"> </w:t>
      </w:r>
      <w:proofErr w:type="spellStart"/>
      <w:r w:rsidRPr="005236FB">
        <w:t>nivea</w:t>
      </w:r>
      <w:proofErr w:type="spellEnd"/>
      <w:r w:rsidRPr="005236FB">
        <w:t xml:space="preserve">. Σε εννέα </w:t>
      </w:r>
      <w:r>
        <w:t xml:space="preserve">ασθενείς </w:t>
      </w:r>
      <w:r w:rsidRPr="005236FB">
        <w:t xml:space="preserve">θετικούς σε AQP4-IgG </w:t>
      </w:r>
      <w:r>
        <w:t>με οπτική νευρομυελίτιδα</w:t>
      </w:r>
      <w:r w:rsidRPr="005236FB">
        <w:t xml:space="preserve"> που έλαβαν θεραπεία έως και 51 μήνες, η ARR μειώθηκε από 2,7 σε 0,4 </w:t>
      </w:r>
      <w:r w:rsidRPr="00EF125C">
        <w:t>(</w:t>
      </w:r>
      <w:r w:rsidRPr="00BB5801">
        <w:rPr>
          <w:lang w:val="en-US"/>
        </w:rPr>
        <w:t>Kageyama</w:t>
      </w:r>
      <w:r w:rsidRPr="00EF125C">
        <w:t xml:space="preserve">, </w:t>
      </w:r>
      <w:r w:rsidRPr="00BB5801">
        <w:rPr>
          <w:lang w:val="en-US"/>
        </w:rPr>
        <w:t>Komori</w:t>
      </w:r>
      <w:r w:rsidRPr="00EF125C">
        <w:t xml:space="preserve">, </w:t>
      </w:r>
      <w:r w:rsidRPr="00BB5801">
        <w:rPr>
          <w:lang w:val="en-US"/>
        </w:rPr>
        <w:t>Miyamoto</w:t>
      </w:r>
      <w:r w:rsidRPr="00EF125C">
        <w:t xml:space="preserve">, </w:t>
      </w:r>
      <w:r w:rsidRPr="00BB5801">
        <w:rPr>
          <w:lang w:val="en-US"/>
        </w:rPr>
        <w:t>Ozaki</w:t>
      </w:r>
      <w:r w:rsidRPr="00EF125C">
        <w:t xml:space="preserve">, </w:t>
      </w:r>
      <w:r w:rsidRPr="00BB5801">
        <w:rPr>
          <w:lang w:val="en-US"/>
        </w:rPr>
        <w:t>Suenaga</w:t>
      </w:r>
      <w:r w:rsidRPr="00EF125C">
        <w:t xml:space="preserve">, </w:t>
      </w:r>
      <w:r w:rsidRPr="00BB5801">
        <w:rPr>
          <w:lang w:val="en-US"/>
        </w:rPr>
        <w:t>Takahashi</w:t>
      </w:r>
      <w:r w:rsidRPr="00EF125C">
        <w:t xml:space="preserve"> </w:t>
      </w:r>
      <w:r w:rsidRPr="00BB5801">
        <w:rPr>
          <w:lang w:val="en-US"/>
        </w:rPr>
        <w:t>et</w:t>
      </w:r>
      <w:r w:rsidRPr="00EF125C">
        <w:t xml:space="preserve"> </w:t>
      </w:r>
      <w:r w:rsidRPr="00BB5801">
        <w:rPr>
          <w:lang w:val="en-US"/>
        </w:rPr>
        <w:t>al</w:t>
      </w:r>
      <w:r w:rsidRPr="004637B5">
        <w:t xml:space="preserve">, </w:t>
      </w:r>
      <w:r w:rsidRPr="00EF125C">
        <w:t>2013)</w:t>
      </w:r>
      <w:r w:rsidRPr="005236FB">
        <w:t>.</w:t>
      </w:r>
    </w:p>
    <w:p w:rsidR="00D47758" w:rsidRPr="004637B5" w:rsidRDefault="00D47758" w:rsidP="00D47758">
      <w:r w:rsidRPr="005236FB">
        <w:t xml:space="preserve">Το </w:t>
      </w:r>
      <w:proofErr w:type="spellStart"/>
      <w:r w:rsidRPr="005236FB">
        <w:t>κυκλοφωσφαμίδιο</w:t>
      </w:r>
      <w:proofErr w:type="spellEnd"/>
      <w:r w:rsidRPr="005236FB">
        <w:t xml:space="preserve"> είναι ένας </w:t>
      </w:r>
      <w:proofErr w:type="spellStart"/>
      <w:r w:rsidRPr="005236FB">
        <w:t>αλκυλιωτικός</w:t>
      </w:r>
      <w:proofErr w:type="spellEnd"/>
      <w:r w:rsidRPr="005236FB">
        <w:t xml:space="preserve"> παράγοντας </w:t>
      </w:r>
      <w:r>
        <w:t>ο οποίος</w:t>
      </w:r>
      <w:r w:rsidRPr="005236FB">
        <w:t xml:space="preserve"> διασυνδέει βάσεις </w:t>
      </w:r>
      <w:proofErr w:type="spellStart"/>
      <w:r w:rsidRPr="005236FB">
        <w:t>γουανίνης</w:t>
      </w:r>
      <w:proofErr w:type="spellEnd"/>
      <w:r w:rsidRPr="005236FB">
        <w:t xml:space="preserve"> στο DNA. Σε </w:t>
      </w:r>
      <w:r>
        <w:t>έρευνα με 4</w:t>
      </w:r>
      <w:r w:rsidRPr="005236FB">
        <w:t xml:space="preserve"> θετικούς ασθενείς σε AQP4-IgG, το EDSS </w:t>
      </w:r>
      <w:r>
        <w:t xml:space="preserve">φάνηκε πως </w:t>
      </w:r>
      <w:r w:rsidRPr="005236FB">
        <w:t xml:space="preserve">βελτιώθηκε από 8,0 σε 5,74 </w:t>
      </w:r>
      <w:r>
        <w:t>μετά το πέρας</w:t>
      </w:r>
      <w:r w:rsidRPr="005236FB">
        <w:t xml:space="preserve"> τη</w:t>
      </w:r>
      <w:r>
        <w:t>ς</w:t>
      </w:r>
      <w:r w:rsidRPr="005236FB">
        <w:t xml:space="preserve"> θεραπεία</w:t>
      </w:r>
      <w:r>
        <w:t>ς</w:t>
      </w:r>
      <w:r w:rsidRPr="005236FB">
        <w:t xml:space="preserve"> </w:t>
      </w:r>
      <w:r w:rsidRPr="004637B5">
        <w:t>(</w:t>
      </w:r>
      <w:r w:rsidRPr="00BB5801">
        <w:rPr>
          <w:lang w:val="en-US"/>
        </w:rPr>
        <w:t>Yaguchi</w:t>
      </w:r>
      <w:r w:rsidRPr="004637B5">
        <w:t xml:space="preserve">, </w:t>
      </w:r>
      <w:r w:rsidRPr="00BB5801">
        <w:rPr>
          <w:lang w:val="en-US"/>
        </w:rPr>
        <w:t>Sakushima</w:t>
      </w:r>
      <w:r w:rsidRPr="004637B5">
        <w:t xml:space="preserve">, </w:t>
      </w:r>
      <w:r w:rsidRPr="00BB5801">
        <w:rPr>
          <w:lang w:val="en-US"/>
        </w:rPr>
        <w:t>Takahashi</w:t>
      </w:r>
      <w:r w:rsidRPr="004637B5">
        <w:t xml:space="preserve"> </w:t>
      </w:r>
      <w:r w:rsidRPr="00BB5801">
        <w:rPr>
          <w:lang w:val="en-US"/>
        </w:rPr>
        <w:t>et</w:t>
      </w:r>
      <w:r w:rsidRPr="004637B5">
        <w:t xml:space="preserve"> </w:t>
      </w:r>
      <w:r w:rsidRPr="00BB5801">
        <w:rPr>
          <w:lang w:val="en-US"/>
        </w:rPr>
        <w:t>al</w:t>
      </w:r>
      <w:r w:rsidRPr="004637B5">
        <w:t>., 2013)</w:t>
      </w:r>
      <w:r w:rsidRPr="005236FB">
        <w:t xml:space="preserve">. Σε μια άλλη </w:t>
      </w:r>
      <w:r>
        <w:t>έρευνα,</w:t>
      </w:r>
      <w:r w:rsidRPr="005236FB">
        <w:t xml:space="preserve"> ομάδα 41 ασθενών που έλαβαν θεραπεία για διάμεσο </w:t>
      </w:r>
      <w:r>
        <w:t xml:space="preserve">χρονικό διάστημα </w:t>
      </w:r>
      <w:r w:rsidRPr="005236FB">
        <w:t xml:space="preserve">13,6 μηνών, η διάμεση ARR μειώθηκε από 0,7 σε 0,0 </w:t>
      </w:r>
      <w:r w:rsidRPr="004637B5">
        <w:t>(</w:t>
      </w:r>
      <w:r w:rsidRPr="00BB5801">
        <w:rPr>
          <w:lang w:val="en-US"/>
        </w:rPr>
        <w:t>Xu</w:t>
      </w:r>
      <w:r w:rsidRPr="004637B5">
        <w:t xml:space="preserve">, </w:t>
      </w:r>
      <w:r w:rsidRPr="00BB5801">
        <w:rPr>
          <w:lang w:val="en-US"/>
        </w:rPr>
        <w:t>Wang</w:t>
      </w:r>
      <w:r w:rsidRPr="004637B5">
        <w:t xml:space="preserve">, </w:t>
      </w:r>
      <w:r w:rsidRPr="00BB5801">
        <w:rPr>
          <w:lang w:val="en-US"/>
        </w:rPr>
        <w:t>Ren</w:t>
      </w:r>
      <w:r w:rsidRPr="004637B5">
        <w:t xml:space="preserve">, </w:t>
      </w:r>
      <w:r w:rsidRPr="00BB5801">
        <w:rPr>
          <w:lang w:val="en-US"/>
        </w:rPr>
        <w:t>Qiao</w:t>
      </w:r>
      <w:r w:rsidRPr="004637B5">
        <w:t xml:space="preserve">, </w:t>
      </w:r>
      <w:r w:rsidRPr="00BB5801">
        <w:rPr>
          <w:lang w:val="en-US"/>
        </w:rPr>
        <w:t>et</w:t>
      </w:r>
      <w:r w:rsidRPr="004637B5">
        <w:t xml:space="preserve"> </w:t>
      </w:r>
      <w:r w:rsidRPr="00BB5801">
        <w:rPr>
          <w:lang w:val="en-US"/>
        </w:rPr>
        <w:t>al</w:t>
      </w:r>
      <w:r w:rsidRPr="004637B5">
        <w:t>., 2016)</w:t>
      </w:r>
      <w:r w:rsidRPr="005236FB">
        <w:t xml:space="preserve">. </w:t>
      </w:r>
      <w:r>
        <w:t>Παρ’ όλα αυτά φαίνεται πως υπάρχουν αντικρουόμενες</w:t>
      </w:r>
      <w:r w:rsidRPr="005236FB">
        <w:t xml:space="preserve"> αναφορές</w:t>
      </w:r>
      <w:r>
        <w:t xml:space="preserve"> και αυτό επειδή 6</w:t>
      </w:r>
      <w:r w:rsidRPr="005236FB">
        <w:t xml:space="preserve"> από τους </w:t>
      </w:r>
      <w:r>
        <w:t>7</w:t>
      </w:r>
      <w:r w:rsidRPr="005236FB">
        <w:t xml:space="preserve"> ασθενείς στο Ομοσπονδιακό Πανεπιστήμιο του Σάο Πάολο</w:t>
      </w:r>
      <w:r>
        <w:t>,</w:t>
      </w:r>
      <w:r w:rsidRPr="005236FB">
        <w:t xml:space="preserve"> </w:t>
      </w:r>
      <w:r>
        <w:t>οι οποίοι</w:t>
      </w:r>
      <w:r w:rsidRPr="005236FB">
        <w:t xml:space="preserve"> έλαβαν δόσεις </w:t>
      </w:r>
      <w:proofErr w:type="spellStart"/>
      <w:r w:rsidRPr="005236FB">
        <w:t>κυκλοφωσφαμίδης</w:t>
      </w:r>
      <w:proofErr w:type="spellEnd"/>
      <w:r>
        <w:t>,</w:t>
      </w:r>
      <w:r w:rsidRPr="005236FB">
        <w:t xml:space="preserve"> συνέχισαν να έχουν υποτροπές</w:t>
      </w:r>
      <w:r>
        <w:t xml:space="preserve"> και εξαιτίας αυτών ο ένας ασθενείς κατέληξε</w:t>
      </w:r>
      <w:r w:rsidRPr="005236FB">
        <w:t xml:space="preserve"> </w:t>
      </w:r>
      <w:r w:rsidRPr="004637B5">
        <w:t>(</w:t>
      </w:r>
      <w:r w:rsidRPr="00BB5801">
        <w:rPr>
          <w:lang w:val="en-US"/>
        </w:rPr>
        <w:t>Bichuetti</w:t>
      </w:r>
      <w:r w:rsidRPr="004637B5">
        <w:t xml:space="preserve">, </w:t>
      </w:r>
      <w:r w:rsidRPr="00BB5801">
        <w:rPr>
          <w:lang w:val="en-US"/>
        </w:rPr>
        <w:t>Oliveira</w:t>
      </w:r>
      <w:r w:rsidRPr="004637B5">
        <w:t xml:space="preserve">, </w:t>
      </w:r>
      <w:r w:rsidRPr="00BB5801">
        <w:rPr>
          <w:lang w:val="en-US"/>
        </w:rPr>
        <w:t>Boulos</w:t>
      </w:r>
      <w:r w:rsidRPr="004637B5">
        <w:t xml:space="preserve"> &amp; </w:t>
      </w:r>
      <w:r w:rsidRPr="00BB5801">
        <w:rPr>
          <w:lang w:val="en-US"/>
        </w:rPr>
        <w:t>Gabbai</w:t>
      </w:r>
      <w:r w:rsidRPr="004637B5">
        <w:t>, 2012).</w:t>
      </w:r>
    </w:p>
    <w:p w:rsidR="00D47758" w:rsidRDefault="00D47758" w:rsidP="00D47758">
      <w:r>
        <w:lastRenderedPageBreak/>
        <w:t>Γενικότερα η</w:t>
      </w:r>
      <w:r w:rsidRPr="005236FB">
        <w:t xml:space="preserve"> </w:t>
      </w:r>
      <w:proofErr w:type="spellStart"/>
      <w:r w:rsidRPr="005236FB">
        <w:t>μεθοτρεξάτη</w:t>
      </w:r>
      <w:proofErr w:type="spellEnd"/>
      <w:r w:rsidRPr="005236FB">
        <w:t xml:space="preserve">, η </w:t>
      </w:r>
      <w:proofErr w:type="spellStart"/>
      <w:r w:rsidRPr="005236FB">
        <w:t>μυκοφαινολάτη</w:t>
      </w:r>
      <w:proofErr w:type="spellEnd"/>
      <w:r w:rsidRPr="005236FB">
        <w:t xml:space="preserve"> </w:t>
      </w:r>
      <w:proofErr w:type="spellStart"/>
      <w:r w:rsidRPr="005236FB">
        <w:t>μοφετίλη</w:t>
      </w:r>
      <w:proofErr w:type="spellEnd"/>
      <w:r w:rsidRPr="005236FB">
        <w:t xml:space="preserve">, η </w:t>
      </w:r>
      <w:proofErr w:type="spellStart"/>
      <w:r w:rsidRPr="005236FB">
        <w:t>μιτοξαντρόνη</w:t>
      </w:r>
      <w:proofErr w:type="spellEnd"/>
      <w:r w:rsidRPr="005236FB">
        <w:t xml:space="preserve"> και η </w:t>
      </w:r>
      <w:proofErr w:type="spellStart"/>
      <w:r w:rsidRPr="005236FB">
        <w:t>κυκλοφωσφαμίδη</w:t>
      </w:r>
      <w:proofErr w:type="spellEnd"/>
      <w:r>
        <w:t xml:space="preserve"> όπως προκύπτει</w:t>
      </w:r>
      <w:r w:rsidRPr="005236FB">
        <w:t xml:space="preserve"> είναι τερατογόνα </w:t>
      </w:r>
      <w:r w:rsidRPr="004637B5">
        <w:t>(</w:t>
      </w:r>
      <w:r w:rsidRPr="00BB5801">
        <w:rPr>
          <w:lang w:val="en-US"/>
        </w:rPr>
        <w:t>Coscia</w:t>
      </w:r>
      <w:r w:rsidRPr="004637B5">
        <w:t xml:space="preserve">, </w:t>
      </w:r>
      <w:r w:rsidRPr="00BB5801">
        <w:rPr>
          <w:lang w:val="en-US"/>
        </w:rPr>
        <w:t>Armenti</w:t>
      </w:r>
      <w:r w:rsidRPr="004637B5">
        <w:t xml:space="preserve">, </w:t>
      </w:r>
      <w:r w:rsidRPr="00BB5801">
        <w:rPr>
          <w:lang w:val="en-US"/>
        </w:rPr>
        <w:t>King</w:t>
      </w:r>
      <w:r w:rsidRPr="004637B5">
        <w:t xml:space="preserve">, </w:t>
      </w:r>
      <w:r w:rsidRPr="00BB5801">
        <w:rPr>
          <w:lang w:val="en-US"/>
        </w:rPr>
        <w:t>Sifontis</w:t>
      </w:r>
      <w:r w:rsidRPr="004637B5">
        <w:t xml:space="preserve">, </w:t>
      </w:r>
      <w:r w:rsidRPr="00BB5801">
        <w:rPr>
          <w:lang w:val="en-US"/>
        </w:rPr>
        <w:t>Constantinescu</w:t>
      </w:r>
      <w:r w:rsidRPr="004637B5">
        <w:t xml:space="preserve"> &amp;, </w:t>
      </w:r>
      <w:r w:rsidRPr="00BB5801">
        <w:rPr>
          <w:lang w:val="en-US"/>
        </w:rPr>
        <w:t>Moritz</w:t>
      </w:r>
      <w:r w:rsidRPr="004637B5">
        <w:t>, 2015)</w:t>
      </w:r>
      <w:r>
        <w:t xml:space="preserve">. Για αυτόν τον λόγο, χρειάζεται να αποφεύγονται όσο είναι δυνατόν </w:t>
      </w:r>
      <w:r w:rsidRPr="005236FB">
        <w:t xml:space="preserve">σε γυναίκες με </w:t>
      </w:r>
      <w:r>
        <w:t>νευρομυελίτιδα που πρόκειται στο άμεσο ή το εγγύς μέλλον να τεκνοποιήσουν</w:t>
      </w:r>
      <w:r w:rsidRPr="005236FB">
        <w:t>.</w:t>
      </w:r>
    </w:p>
    <w:p w:rsidR="00A50CA8" w:rsidRDefault="00A50CA8" w:rsidP="00D47758">
      <w:pPr>
        <w:pStyle w:val="3"/>
        <w:rPr>
          <w:color w:val="000000"/>
          <w:szCs w:val="24"/>
          <w:lang w:eastAsia="el-GR"/>
        </w:rPr>
      </w:pPr>
    </w:p>
    <w:p w:rsidR="00D07B30" w:rsidRPr="00A50CA8" w:rsidRDefault="007B2CBE" w:rsidP="00A50CA8">
      <w:pPr>
        <w:pStyle w:val="1"/>
        <w:rPr>
          <w:rFonts w:eastAsia="ArialMT"/>
          <w:sz w:val="24"/>
          <w:lang w:eastAsia="el-GR"/>
        </w:rPr>
      </w:pPr>
      <w:r>
        <w:rPr>
          <w:color w:val="000000"/>
          <w:lang w:eastAsia="el-GR"/>
        </w:rPr>
        <w:br w:type="page"/>
      </w:r>
      <w:bookmarkStart w:id="49" w:name="_Toc57241651"/>
      <w:r w:rsidR="00A50CA8">
        <w:rPr>
          <w:color w:val="000000"/>
          <w:lang w:eastAsia="el-GR"/>
        </w:rPr>
        <w:lastRenderedPageBreak/>
        <w:t>ΚΕΦΑΛΑΙΟ 4</w:t>
      </w:r>
      <w:r w:rsidR="0079604F">
        <w:rPr>
          <w:color w:val="000000"/>
          <w:vertAlign w:val="superscript"/>
          <w:lang w:eastAsia="el-GR"/>
        </w:rPr>
        <w:t>ο</w:t>
      </w:r>
      <w:r w:rsidR="00A50CA8">
        <w:rPr>
          <w:color w:val="000000"/>
          <w:lang w:eastAsia="el-GR"/>
        </w:rPr>
        <w:t xml:space="preserve">: </w:t>
      </w:r>
      <w:r w:rsidR="00E00617">
        <w:rPr>
          <w:rFonts w:eastAsia="ArialMT"/>
          <w:lang w:eastAsia="el-GR"/>
        </w:rPr>
        <w:t>ΔΙΑΦΟΡΟΠΟΙΗΣΗ</w:t>
      </w:r>
      <w:r w:rsidR="00A50CA8">
        <w:rPr>
          <w:rFonts w:eastAsia="ArialMT"/>
          <w:lang w:eastAsia="el-GR"/>
        </w:rPr>
        <w:t xml:space="preserve"> ΜΕΤΑΞΥ ΤΩΝ ΔΥΟ ΝΟΣΩΝ</w:t>
      </w:r>
      <w:bookmarkEnd w:id="49"/>
    </w:p>
    <w:p w:rsidR="00D07B30" w:rsidRPr="00F6789D" w:rsidRDefault="00A50CA8" w:rsidP="00A50CA8">
      <w:pPr>
        <w:pStyle w:val="2"/>
        <w:rPr>
          <w:lang w:eastAsia="el-GR"/>
        </w:rPr>
      </w:pPr>
      <w:bookmarkStart w:id="50" w:name="_Toc57241652"/>
      <w:r>
        <w:rPr>
          <w:lang w:eastAsia="el-GR"/>
        </w:rPr>
        <w:t xml:space="preserve">4.1 </w:t>
      </w:r>
      <w:r w:rsidR="0045538D" w:rsidRPr="00A50CA8">
        <w:rPr>
          <w:lang w:eastAsia="el-GR"/>
        </w:rPr>
        <w:t>Συγκριτικές μελέτες</w:t>
      </w:r>
      <w:bookmarkEnd w:id="50"/>
    </w:p>
    <w:p w:rsidR="00141933" w:rsidRPr="00333479" w:rsidRDefault="007B2CBE" w:rsidP="007B2CBE">
      <w:pPr>
        <w:rPr>
          <w:rFonts w:eastAsia="Times New Roman"/>
          <w:szCs w:val="24"/>
          <w:lang w:eastAsia="el-GR"/>
        </w:rPr>
      </w:pPr>
      <w:r>
        <w:rPr>
          <w:rFonts w:eastAsia="Times New Roman"/>
          <w:szCs w:val="24"/>
          <w:lang w:eastAsia="el-GR"/>
        </w:rPr>
        <w:t>Οι προαναφερόμενες νόσοι διαφοροποιούνται σε διάφορα σημεία και χαρακτηριστικά. Παρακάτω ακολουθεί πίνακας όπου παρουσιάζονται τα δ</w:t>
      </w:r>
      <w:r w:rsidR="00141933">
        <w:rPr>
          <w:rFonts w:eastAsia="Times New Roman"/>
          <w:szCs w:val="24"/>
          <w:lang w:eastAsia="el-GR"/>
        </w:rPr>
        <w:t xml:space="preserve">ιακριτικά χαρακτηριστικά της </w:t>
      </w:r>
      <w:r w:rsidR="00141933" w:rsidRPr="00141933">
        <w:rPr>
          <w:rFonts w:eastAsia="Times New Roman"/>
          <w:szCs w:val="24"/>
          <w:lang w:eastAsia="el-GR"/>
        </w:rPr>
        <w:t xml:space="preserve"> Πολ</w:t>
      </w:r>
      <w:r w:rsidR="00141933">
        <w:rPr>
          <w:rFonts w:eastAsia="Times New Roman"/>
          <w:szCs w:val="24"/>
          <w:lang w:eastAsia="el-GR"/>
        </w:rPr>
        <w:t>λ</w:t>
      </w:r>
      <w:r w:rsidR="00141933" w:rsidRPr="00141933">
        <w:rPr>
          <w:rFonts w:eastAsia="Times New Roman"/>
          <w:szCs w:val="24"/>
          <w:lang w:eastAsia="el-GR"/>
        </w:rPr>
        <w:t>απλή</w:t>
      </w:r>
      <w:r w:rsidR="00141933">
        <w:rPr>
          <w:rFonts w:eastAsia="Times New Roman"/>
          <w:szCs w:val="24"/>
          <w:lang w:eastAsia="el-GR"/>
        </w:rPr>
        <w:t>ς Σκλήρυνση</w:t>
      </w:r>
      <w:r w:rsidR="00141933" w:rsidRPr="00141933">
        <w:rPr>
          <w:rFonts w:eastAsia="Times New Roman"/>
          <w:szCs w:val="24"/>
          <w:lang w:eastAsia="el-GR"/>
        </w:rPr>
        <w:t xml:space="preserve"> </w:t>
      </w:r>
      <w:r w:rsidR="00141933">
        <w:rPr>
          <w:rFonts w:eastAsia="Times New Roman"/>
          <w:szCs w:val="24"/>
          <w:lang w:eastAsia="el-GR"/>
        </w:rPr>
        <w:t>(</w:t>
      </w:r>
      <w:r w:rsidR="00141933" w:rsidRPr="00333479">
        <w:rPr>
          <w:rFonts w:eastAsia="Times New Roman"/>
          <w:szCs w:val="24"/>
          <w:lang w:val="en-US" w:eastAsia="el-GR"/>
        </w:rPr>
        <w:t>MS</w:t>
      </w:r>
      <w:r w:rsidR="00141933">
        <w:rPr>
          <w:rFonts w:eastAsia="Times New Roman"/>
          <w:szCs w:val="24"/>
          <w:lang w:eastAsia="el-GR"/>
        </w:rPr>
        <w:t xml:space="preserve">) </w:t>
      </w:r>
      <w:r>
        <w:rPr>
          <w:rFonts w:eastAsia="Times New Roman"/>
          <w:szCs w:val="24"/>
          <w:lang w:eastAsia="el-GR"/>
        </w:rPr>
        <w:t xml:space="preserve">συγκρινόμενα με </w:t>
      </w:r>
      <w:r w:rsidR="00141933">
        <w:rPr>
          <w:rFonts w:eastAsia="Times New Roman"/>
          <w:szCs w:val="24"/>
          <w:lang w:eastAsia="el-GR"/>
        </w:rPr>
        <w:t xml:space="preserve">αυτά της </w:t>
      </w:r>
      <w:r w:rsidR="00141933">
        <w:rPr>
          <w:rStyle w:val="tlid-translation"/>
        </w:rPr>
        <w:t>Διαταραχής</w:t>
      </w:r>
      <w:r w:rsidR="00141933" w:rsidRPr="00141933">
        <w:rPr>
          <w:rStyle w:val="tlid-translation"/>
        </w:rPr>
        <w:t xml:space="preserve"> </w:t>
      </w:r>
      <w:r w:rsidR="00AE4319">
        <w:rPr>
          <w:rStyle w:val="tlid-translation"/>
        </w:rPr>
        <w:t xml:space="preserve">του </w:t>
      </w:r>
      <w:r w:rsidR="00141933">
        <w:rPr>
          <w:rStyle w:val="tlid-translation"/>
        </w:rPr>
        <w:t>φάσματος</w:t>
      </w:r>
      <w:r w:rsidR="00141933" w:rsidRPr="00141933">
        <w:rPr>
          <w:rStyle w:val="tlid-translation"/>
        </w:rPr>
        <w:t xml:space="preserve"> </w:t>
      </w:r>
      <w:r w:rsidR="00141933">
        <w:rPr>
          <w:rStyle w:val="tlid-translation"/>
        </w:rPr>
        <w:t>οπτικής</w:t>
      </w:r>
      <w:r w:rsidR="00141933" w:rsidRPr="00141933">
        <w:rPr>
          <w:rStyle w:val="tlid-translation"/>
        </w:rPr>
        <w:t xml:space="preserve"> </w:t>
      </w:r>
      <w:r w:rsidR="00141933">
        <w:rPr>
          <w:rStyle w:val="tlid-translation"/>
        </w:rPr>
        <w:t>νευρομυελίτιδας</w:t>
      </w:r>
      <w:r w:rsidR="00141933" w:rsidRPr="00141933">
        <w:rPr>
          <w:rStyle w:val="tlid-translation"/>
        </w:rPr>
        <w:t xml:space="preserve"> (</w:t>
      </w:r>
      <w:r w:rsidR="00141933" w:rsidRPr="00333479">
        <w:rPr>
          <w:rFonts w:eastAsia="Times New Roman"/>
          <w:szCs w:val="24"/>
          <w:lang w:val="en-US" w:eastAsia="el-GR"/>
        </w:rPr>
        <w:t>NMOSD</w:t>
      </w:r>
      <w:r w:rsidR="00141933" w:rsidRPr="00141933">
        <w:rPr>
          <w:rFonts w:eastAsia="Times New Roman"/>
          <w:szCs w:val="24"/>
          <w:lang w:eastAsia="el-GR"/>
        </w:rPr>
        <w:t>)</w:t>
      </w:r>
      <w:r w:rsidR="00141933" w:rsidRPr="00333479">
        <w:rPr>
          <w:rFonts w:eastAsia="Times New Roman"/>
          <w:szCs w:val="24"/>
          <w:lang w:eastAsia="el-GR"/>
        </w:rPr>
        <w:t>.</w:t>
      </w:r>
    </w:p>
    <w:p w:rsidR="007B2CBE" w:rsidRPr="007B2CBE" w:rsidRDefault="007B2CBE" w:rsidP="007B2CBE">
      <w:pPr>
        <w:pStyle w:val="a6"/>
        <w:keepNext/>
      </w:pPr>
      <w:bookmarkStart w:id="51" w:name="_Toc57241663"/>
      <w:r>
        <w:t xml:space="preserve">Πίνακας </w:t>
      </w:r>
      <w:r w:rsidR="0079502A">
        <w:fldChar w:fldCharType="begin"/>
      </w:r>
      <w:r w:rsidR="0079502A">
        <w:instrText xml:space="preserve"> SEQ Πίνακας \* ARABIC </w:instrText>
      </w:r>
      <w:r w:rsidR="0079502A">
        <w:fldChar w:fldCharType="separate"/>
      </w:r>
      <w:r>
        <w:rPr>
          <w:noProof/>
        </w:rPr>
        <w:t>1</w:t>
      </w:r>
      <w:r w:rsidR="0079502A">
        <w:rPr>
          <w:noProof/>
        </w:rPr>
        <w:fldChar w:fldCharType="end"/>
      </w:r>
      <w:r>
        <w:t xml:space="preserve">: Διαφοροποίηση χαρακτηριστικών της </w:t>
      </w:r>
      <w:r>
        <w:rPr>
          <w:lang w:val="en-US"/>
        </w:rPr>
        <w:t>MS</w:t>
      </w:r>
      <w:r w:rsidRPr="007B2CBE">
        <w:t xml:space="preserve"> </w:t>
      </w:r>
      <w:r>
        <w:t xml:space="preserve">και της </w:t>
      </w:r>
      <w:r>
        <w:rPr>
          <w:lang w:val="en-US"/>
        </w:rPr>
        <w:t>NMOSD</w:t>
      </w:r>
      <w:bookmarkEnd w:id="5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2"/>
        <w:gridCol w:w="1927"/>
        <w:gridCol w:w="1805"/>
        <w:gridCol w:w="2127"/>
        <w:gridCol w:w="1609"/>
      </w:tblGrid>
      <w:tr w:rsidR="00115D6D" w:rsidRPr="00333479" w:rsidTr="00141933">
        <w:trPr>
          <w:tblHeader/>
          <w:tblCellSpacing w:w="15" w:type="dxa"/>
        </w:trPr>
        <w:tc>
          <w:tcPr>
            <w:tcW w:w="0" w:type="auto"/>
            <w:vAlign w:val="center"/>
            <w:hideMark/>
          </w:tcPr>
          <w:p w:rsidR="00141933" w:rsidRPr="00333479" w:rsidRDefault="00141933" w:rsidP="00141933">
            <w:pPr>
              <w:spacing w:after="0" w:line="240" w:lineRule="auto"/>
              <w:ind w:firstLine="0"/>
              <w:jc w:val="center"/>
              <w:rPr>
                <w:rFonts w:eastAsia="Times New Roman"/>
                <w:b/>
                <w:bCs/>
                <w:szCs w:val="24"/>
                <w:lang w:eastAsia="el-GR"/>
              </w:rPr>
            </w:pPr>
          </w:p>
        </w:tc>
        <w:tc>
          <w:tcPr>
            <w:tcW w:w="0" w:type="auto"/>
            <w:vAlign w:val="center"/>
            <w:hideMark/>
          </w:tcPr>
          <w:p w:rsidR="00141933" w:rsidRPr="00333479" w:rsidRDefault="00141933" w:rsidP="00141933">
            <w:pPr>
              <w:spacing w:after="0" w:line="240" w:lineRule="auto"/>
              <w:ind w:firstLine="0"/>
              <w:jc w:val="center"/>
              <w:rPr>
                <w:rFonts w:eastAsia="Times New Roman"/>
                <w:b/>
                <w:bCs/>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b/>
                <w:bCs/>
                <w:szCs w:val="24"/>
                <w:lang w:eastAsia="el-GR"/>
              </w:rPr>
            </w:pPr>
            <w:r w:rsidRPr="00333479">
              <w:rPr>
                <w:rFonts w:eastAsia="Times New Roman"/>
                <w:b/>
                <w:bCs/>
                <w:szCs w:val="24"/>
                <w:lang w:eastAsia="el-GR"/>
              </w:rPr>
              <w:t>MS</w:t>
            </w:r>
            <w:r w:rsidR="007B2CBE">
              <w:rPr>
                <w:rStyle w:val="ab"/>
                <w:rFonts w:eastAsia="Times New Roman"/>
                <w:b/>
                <w:bCs/>
                <w:szCs w:val="24"/>
                <w:lang w:eastAsia="el-GR"/>
              </w:rPr>
              <w:footnoteReference w:id="1"/>
            </w:r>
          </w:p>
        </w:tc>
        <w:tc>
          <w:tcPr>
            <w:tcW w:w="0" w:type="auto"/>
            <w:vAlign w:val="center"/>
            <w:hideMark/>
          </w:tcPr>
          <w:p w:rsidR="00141933" w:rsidRPr="00333479" w:rsidRDefault="00141933" w:rsidP="00141933">
            <w:pPr>
              <w:spacing w:after="0" w:line="240" w:lineRule="auto"/>
              <w:ind w:firstLine="0"/>
              <w:jc w:val="left"/>
              <w:rPr>
                <w:rFonts w:eastAsia="Times New Roman"/>
                <w:b/>
                <w:bCs/>
                <w:szCs w:val="24"/>
                <w:lang w:eastAsia="el-GR"/>
              </w:rPr>
            </w:pPr>
            <w:r w:rsidRPr="00333479">
              <w:rPr>
                <w:rFonts w:eastAsia="Times New Roman"/>
                <w:b/>
                <w:bCs/>
                <w:szCs w:val="24"/>
                <w:lang w:eastAsia="el-GR"/>
              </w:rPr>
              <w:t>NMOSD</w:t>
            </w:r>
            <w:r w:rsidR="003222F3">
              <w:rPr>
                <w:rStyle w:val="ab"/>
                <w:rFonts w:eastAsia="Times New Roman"/>
                <w:b/>
                <w:bCs/>
                <w:szCs w:val="24"/>
                <w:lang w:eastAsia="el-GR"/>
              </w:rPr>
              <w:footnoteReference w:id="2"/>
            </w:r>
          </w:p>
        </w:tc>
        <w:tc>
          <w:tcPr>
            <w:tcW w:w="0" w:type="auto"/>
            <w:vAlign w:val="center"/>
            <w:hideMark/>
          </w:tcPr>
          <w:p w:rsidR="00141933" w:rsidRPr="00333479" w:rsidRDefault="00141933" w:rsidP="00141933">
            <w:pPr>
              <w:spacing w:after="0" w:line="240" w:lineRule="auto"/>
              <w:ind w:firstLine="0"/>
              <w:jc w:val="left"/>
              <w:rPr>
                <w:rFonts w:eastAsia="Times New Roman"/>
                <w:b/>
                <w:bCs/>
                <w:szCs w:val="24"/>
                <w:lang w:eastAsia="el-GR"/>
              </w:rPr>
            </w:pPr>
            <w:r>
              <w:rPr>
                <w:rFonts w:eastAsia="Times New Roman"/>
                <w:b/>
                <w:bCs/>
                <w:szCs w:val="24"/>
                <w:lang w:eastAsia="el-GR"/>
              </w:rPr>
              <w:t>Αναφορές</w:t>
            </w:r>
          </w:p>
        </w:tc>
      </w:tr>
      <w:tr w:rsidR="00141933" w:rsidRPr="00333479" w:rsidTr="00141933">
        <w:trPr>
          <w:tblCellSpacing w:w="15" w:type="dxa"/>
        </w:trPr>
        <w:tc>
          <w:tcPr>
            <w:tcW w:w="0" w:type="auto"/>
            <w:gridSpan w:val="5"/>
            <w:vAlign w:val="center"/>
            <w:hideMark/>
          </w:tcPr>
          <w:p w:rsidR="00141933" w:rsidRPr="00333479" w:rsidRDefault="00141933" w:rsidP="00141933">
            <w:pPr>
              <w:spacing w:after="0" w:line="240" w:lineRule="auto"/>
              <w:ind w:firstLine="0"/>
              <w:jc w:val="left"/>
              <w:rPr>
                <w:rFonts w:eastAsia="Times New Roman"/>
                <w:szCs w:val="24"/>
                <w:lang w:eastAsia="el-GR"/>
              </w:rPr>
            </w:pPr>
            <w:r>
              <w:rPr>
                <w:rFonts w:eastAsia="Times New Roman"/>
                <w:b/>
                <w:bCs/>
                <w:szCs w:val="24"/>
                <w:lang w:eastAsia="el-GR"/>
              </w:rPr>
              <w:t>Επιδημιολογικά χαρακτηριστικά</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Fonts w:eastAsia="Times New Roman"/>
                <w:szCs w:val="24"/>
                <w:lang w:eastAsia="el-GR"/>
              </w:rPr>
              <w:t>Επικράτηση</w:t>
            </w:r>
            <w:r w:rsidRPr="00333479">
              <w:rPr>
                <w:rFonts w:eastAsia="Times New Roman"/>
                <w:szCs w:val="24"/>
                <w:lang w:eastAsia="el-GR"/>
              </w:rPr>
              <w:t xml:space="preserve">, </w:t>
            </w:r>
            <w:r>
              <w:rPr>
                <w:rFonts w:eastAsia="Times New Roman"/>
                <w:szCs w:val="24"/>
                <w:lang w:eastAsia="el-GR"/>
              </w:rPr>
              <w:t>ανά</w:t>
            </w:r>
            <w:r w:rsidRPr="00333479">
              <w:rPr>
                <w:rFonts w:eastAsia="Times New Roman"/>
                <w:szCs w:val="24"/>
                <w:lang w:eastAsia="el-GR"/>
              </w:rPr>
              <w:t xml:space="preserve"> 100,000</w:t>
            </w:r>
            <w:r w:rsidRPr="00333479">
              <w:rPr>
                <w:rFonts w:eastAsia="Times New Roman"/>
                <w:szCs w:val="24"/>
                <w:vertAlign w:val="superscript"/>
                <w:lang w:eastAsia="el-GR"/>
              </w:rPr>
              <w:t>5</w:t>
            </w:r>
            <w:r w:rsidRPr="00333479">
              <w:rPr>
                <w:rFonts w:eastAsia="Times New Roman"/>
                <w:szCs w:val="24"/>
                <w:lang w:eastAsia="el-GR"/>
              </w:rPr>
              <w:t xml:space="preserve"> </w:t>
            </w:r>
            <w:r>
              <w:rPr>
                <w:rFonts w:eastAsia="Times New Roman"/>
                <w:szCs w:val="24"/>
                <w:lang w:eastAsia="el-GR"/>
              </w:rPr>
              <w:t>ανθρώπους</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Fonts w:eastAsia="Times New Roman"/>
                <w:szCs w:val="24"/>
                <w:lang w:eastAsia="el-GR"/>
              </w:rPr>
              <w:t>Δανία</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154.5 </w:t>
            </w:r>
            <w:r>
              <w:rPr>
                <w:rFonts w:eastAsia="Times New Roman"/>
                <w:szCs w:val="24"/>
                <w:lang w:eastAsia="el-GR"/>
              </w:rPr>
              <w:t>εθνικώς</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4.4 </w:t>
            </w:r>
            <w:r>
              <w:rPr>
                <w:rStyle w:val="tlid-translation"/>
              </w:rPr>
              <w:t>στη νότια Δανία</w:t>
            </w:r>
          </w:p>
        </w:tc>
        <w:tc>
          <w:tcPr>
            <w:tcW w:w="0" w:type="auto"/>
            <w:vAlign w:val="center"/>
            <w:hideMark/>
          </w:tcPr>
          <w:p w:rsidR="00141933" w:rsidRPr="00333479" w:rsidRDefault="00141933" w:rsidP="00B424C0">
            <w:pPr>
              <w:spacing w:after="0" w:line="240" w:lineRule="auto"/>
              <w:ind w:firstLine="0"/>
              <w:jc w:val="left"/>
              <w:rPr>
                <w:rFonts w:eastAsia="Times New Roman"/>
                <w:szCs w:val="24"/>
                <w:lang w:eastAsia="el-GR"/>
              </w:rPr>
            </w:pPr>
            <w:r w:rsidRPr="00333479">
              <w:rPr>
                <w:rFonts w:eastAsia="Times New Roman"/>
                <w:szCs w:val="24"/>
                <w:lang w:val="en-US" w:eastAsia="el-GR"/>
              </w:rPr>
              <w:t>Asgari et al.,</w:t>
            </w:r>
            <w:r w:rsidR="00B424C0">
              <w:rPr>
                <w:rFonts w:eastAsia="Times New Roman"/>
                <w:szCs w:val="24"/>
                <w:lang w:val="en-US" w:eastAsia="el-GR"/>
              </w:rPr>
              <w:t xml:space="preserve"> 2011</w:t>
            </w:r>
            <w:r w:rsidR="00B424C0" w:rsidRPr="00333479">
              <w:rPr>
                <w:rFonts w:eastAsia="Times New Roman"/>
                <w:szCs w:val="24"/>
                <w:lang w:eastAsia="el-GR"/>
              </w:rPr>
              <w:t xml:space="preserve"> </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Fonts w:eastAsia="Times New Roman"/>
                <w:szCs w:val="24"/>
                <w:lang w:eastAsia="el-GR"/>
              </w:rPr>
              <w:t>ΗΠΑ</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177 </w:t>
            </w:r>
            <w:r>
              <w:rPr>
                <w:rFonts w:eastAsia="Times New Roman"/>
                <w:szCs w:val="24"/>
                <w:lang w:eastAsia="el-GR"/>
              </w:rPr>
              <w:t>στη Μινεσότα</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3.9 </w:t>
            </w:r>
            <w:r>
              <w:rPr>
                <w:rFonts w:eastAsia="Times New Roman"/>
                <w:szCs w:val="24"/>
                <w:lang w:eastAsia="el-GR"/>
              </w:rPr>
              <w:t>στη Μινεσότα</w:t>
            </w:r>
          </w:p>
        </w:tc>
        <w:tc>
          <w:tcPr>
            <w:tcW w:w="0" w:type="auto"/>
            <w:vAlign w:val="center"/>
            <w:hideMark/>
          </w:tcPr>
          <w:p w:rsidR="00141933" w:rsidRPr="00333479" w:rsidRDefault="00141933" w:rsidP="00B424C0">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Mayr</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B424C0">
              <w:rPr>
                <w:rFonts w:eastAsia="Times New Roman"/>
                <w:szCs w:val="24"/>
                <w:lang w:eastAsia="el-GR"/>
              </w:rPr>
              <w:t>, 2003</w:t>
            </w:r>
            <w:r w:rsidR="00B424C0" w:rsidRPr="00333479">
              <w:rPr>
                <w:rFonts w:eastAsia="Times New Roman"/>
                <w:szCs w:val="24"/>
                <w:lang w:eastAsia="el-GR"/>
              </w:rPr>
              <w:t xml:space="preserve"> </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Martinique</w:t>
            </w:r>
            <w:proofErr w:type="spellEnd"/>
            <w:r w:rsidRPr="00333479">
              <w:rPr>
                <w:rFonts w:eastAsia="Times New Roman"/>
                <w:szCs w:val="24"/>
                <w:lang w:eastAsia="el-GR"/>
              </w:rPr>
              <w:t xml:space="preserve">, </w:t>
            </w:r>
            <w:r>
              <w:rPr>
                <w:rFonts w:eastAsia="Times New Roman"/>
                <w:szCs w:val="24"/>
                <w:lang w:eastAsia="el-GR"/>
              </w:rPr>
              <w:t>Γαλλία</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10 </w:t>
            </w:r>
            <w:r>
              <w:rPr>
                <w:rFonts w:eastAsia="Times New Roman"/>
                <w:szCs w:val="24"/>
                <w:lang w:eastAsia="el-GR"/>
              </w:rPr>
              <w:t>στην</w:t>
            </w:r>
            <w:r w:rsidRPr="00333479">
              <w:rPr>
                <w:rFonts w:eastAsia="Times New Roman"/>
                <w:szCs w:val="24"/>
                <w:lang w:eastAsia="el-GR"/>
              </w:rPr>
              <w:t xml:space="preserve"> </w:t>
            </w:r>
            <w:proofErr w:type="spellStart"/>
            <w:r w:rsidRPr="00333479">
              <w:rPr>
                <w:rFonts w:eastAsia="Times New Roman"/>
                <w:szCs w:val="24"/>
                <w:lang w:eastAsia="el-GR"/>
              </w:rPr>
              <w:t>Martinique</w:t>
            </w:r>
            <w:proofErr w:type="spellEnd"/>
          </w:p>
        </w:tc>
        <w:tc>
          <w:tcPr>
            <w:tcW w:w="0" w:type="auto"/>
            <w:vAlign w:val="center"/>
            <w:hideMark/>
          </w:tcPr>
          <w:p w:rsidR="00141933" w:rsidRPr="00333479" w:rsidRDefault="00141933" w:rsidP="00B424C0">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Flanagan</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B424C0">
              <w:rPr>
                <w:rFonts w:eastAsia="Times New Roman"/>
                <w:szCs w:val="24"/>
                <w:lang w:val="en-US" w:eastAsia="el-GR"/>
              </w:rPr>
              <w:t>, 2016</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Fonts w:eastAsia="Times New Roman"/>
                <w:szCs w:val="24"/>
                <w:lang w:eastAsia="el-GR"/>
              </w:rPr>
              <w:t>Ηνωμένο Βασίλειο</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203.4 </w:t>
            </w:r>
            <w:r>
              <w:rPr>
                <w:rFonts w:eastAsia="Times New Roman"/>
                <w:szCs w:val="24"/>
                <w:lang w:eastAsia="el-GR"/>
              </w:rPr>
              <w:t>εθνικώς</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1.96 </w:t>
            </w:r>
            <w:r>
              <w:rPr>
                <w:rStyle w:val="tlid-translation"/>
              </w:rPr>
              <w:t>στη νοτιοανατολική Ουαλία</w:t>
            </w:r>
          </w:p>
        </w:tc>
        <w:tc>
          <w:tcPr>
            <w:tcW w:w="0" w:type="auto"/>
            <w:vAlign w:val="center"/>
            <w:hideMark/>
          </w:tcPr>
          <w:p w:rsidR="00141933" w:rsidRPr="00333479" w:rsidRDefault="00141933" w:rsidP="00B424C0">
            <w:pPr>
              <w:spacing w:after="0" w:line="240" w:lineRule="auto"/>
              <w:ind w:firstLine="0"/>
              <w:jc w:val="left"/>
              <w:rPr>
                <w:rFonts w:eastAsia="Times New Roman"/>
                <w:szCs w:val="24"/>
                <w:lang w:eastAsia="el-GR"/>
              </w:rPr>
            </w:pPr>
            <w:r w:rsidRPr="00333479">
              <w:rPr>
                <w:rFonts w:eastAsia="Times New Roman"/>
                <w:szCs w:val="24"/>
                <w:lang w:val="en-US" w:eastAsia="el-GR"/>
              </w:rPr>
              <w:t>Cossburn et al.,</w:t>
            </w:r>
            <w:r w:rsidR="00B424C0">
              <w:rPr>
                <w:rFonts w:eastAsia="Times New Roman"/>
                <w:szCs w:val="24"/>
                <w:lang w:val="en-US" w:eastAsia="el-GR"/>
              </w:rPr>
              <w:t xml:space="preserve"> 2012</w:t>
            </w:r>
          </w:p>
        </w:tc>
      </w:tr>
      <w:tr w:rsidR="00115D6D" w:rsidRPr="001E612F"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Fonts w:eastAsia="Times New Roman"/>
                <w:szCs w:val="24"/>
                <w:lang w:eastAsia="el-GR"/>
              </w:rPr>
              <w:t>Ιαπωνία</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10 </w:t>
            </w:r>
            <w:r>
              <w:rPr>
                <w:rFonts w:eastAsia="Times New Roman"/>
                <w:szCs w:val="24"/>
                <w:lang w:eastAsia="el-GR"/>
              </w:rPr>
              <w:t>εθνικώς</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sidRPr="00333479">
              <w:rPr>
                <w:rFonts w:eastAsia="Times New Roman"/>
                <w:szCs w:val="24"/>
                <w:lang w:eastAsia="el-GR"/>
              </w:rPr>
              <w:t xml:space="preserve">3.65 </w:t>
            </w:r>
            <w:r>
              <w:rPr>
                <w:rFonts w:eastAsia="Times New Roman"/>
                <w:szCs w:val="24"/>
                <w:lang w:eastAsia="el-GR"/>
              </w:rPr>
              <w:t>εθνικώς</w:t>
            </w:r>
          </w:p>
        </w:tc>
        <w:tc>
          <w:tcPr>
            <w:tcW w:w="0" w:type="auto"/>
            <w:vAlign w:val="center"/>
            <w:hideMark/>
          </w:tcPr>
          <w:p w:rsidR="00141933" w:rsidRPr="001E612F" w:rsidRDefault="00141933" w:rsidP="001E612F">
            <w:pPr>
              <w:spacing w:after="0" w:line="240" w:lineRule="auto"/>
              <w:ind w:firstLine="0"/>
              <w:jc w:val="left"/>
              <w:rPr>
                <w:rFonts w:eastAsia="Times New Roman"/>
                <w:szCs w:val="24"/>
                <w:lang w:val="en-US" w:eastAsia="el-GR"/>
              </w:rPr>
            </w:pPr>
            <w:r w:rsidRPr="001E612F">
              <w:rPr>
                <w:rFonts w:eastAsia="Times New Roman"/>
                <w:szCs w:val="24"/>
                <w:lang w:val="en-US" w:eastAsia="el-GR"/>
              </w:rPr>
              <w:t>Ochi and Fujihara,</w:t>
            </w:r>
            <w:r w:rsidR="001E612F">
              <w:rPr>
                <w:rFonts w:eastAsia="Times New Roman"/>
                <w:szCs w:val="24"/>
                <w:lang w:val="en-US" w:eastAsia="el-GR"/>
              </w:rPr>
              <w:t xml:space="preserve"> 2016q</w:t>
            </w:r>
            <w:r w:rsidRPr="001E612F">
              <w:rPr>
                <w:rFonts w:eastAsia="Times New Roman"/>
                <w:szCs w:val="24"/>
                <w:lang w:val="en-US" w:eastAsia="el-GR"/>
              </w:rPr>
              <w:t xml:space="preserve"> Miyamoto</w:t>
            </w:r>
            <w:r w:rsidR="001E612F">
              <w:rPr>
                <w:rFonts w:eastAsia="Times New Roman"/>
                <w:szCs w:val="24"/>
                <w:lang w:val="en-US" w:eastAsia="el-GR"/>
              </w:rPr>
              <w:t>, 2015</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Fonts w:eastAsia="Times New Roman"/>
                <w:szCs w:val="24"/>
                <w:lang w:eastAsia="el-GR"/>
              </w:rPr>
              <w:t>Αναλογία φύλου</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Style w:val="tlid-translation"/>
              </w:rPr>
              <w:t>Μέτρια γυναικεία επικράτηση</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Style w:val="tlid-translation"/>
              </w:rPr>
              <w:t>Υψηλή γυναικεία επικράτηση</w:t>
            </w:r>
            <w:r w:rsidRPr="00333479">
              <w:rPr>
                <w:rFonts w:eastAsia="Times New Roman"/>
                <w:szCs w:val="24"/>
                <w:lang w:eastAsia="el-GR"/>
              </w:rPr>
              <w:t xml:space="preserve"> (9:1–3:1).</w:t>
            </w:r>
          </w:p>
        </w:tc>
        <w:tc>
          <w:tcPr>
            <w:tcW w:w="0" w:type="auto"/>
            <w:vAlign w:val="center"/>
            <w:hideMark/>
          </w:tcPr>
          <w:p w:rsidR="00141933" w:rsidRPr="00333479" w:rsidRDefault="00141933" w:rsidP="001E612F">
            <w:pPr>
              <w:spacing w:after="0" w:line="240" w:lineRule="auto"/>
              <w:ind w:firstLine="0"/>
              <w:jc w:val="left"/>
              <w:rPr>
                <w:rFonts w:eastAsia="Times New Roman"/>
                <w:szCs w:val="24"/>
                <w:lang w:val="en-US" w:eastAsia="el-GR"/>
              </w:rPr>
            </w:pPr>
            <w:r w:rsidRPr="00333479">
              <w:rPr>
                <w:rFonts w:eastAsia="Times New Roman"/>
                <w:szCs w:val="24"/>
                <w:lang w:val="en-US" w:eastAsia="el-GR"/>
              </w:rPr>
              <w:t>Kim et al.,</w:t>
            </w:r>
            <w:r w:rsidR="001E612F">
              <w:rPr>
                <w:rFonts w:eastAsia="Times New Roman"/>
                <w:szCs w:val="24"/>
                <w:lang w:val="en-US" w:eastAsia="el-GR"/>
              </w:rPr>
              <w:t xml:space="preserve"> 2012</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Style w:val="tlid-translation"/>
              </w:rPr>
              <w:t>Ηλικία έναρξης/ εμφάνισης πρώτων συμπτωμάτων</w:t>
            </w: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r>
              <w:rPr>
                <w:rStyle w:val="tlid-translation"/>
              </w:rPr>
              <w:t>Μέσος όρος τα  29 έτη, όχι συχνότητα σε παιδιά και&gt; 50 ετών</w:t>
            </w:r>
          </w:p>
        </w:tc>
        <w:tc>
          <w:tcPr>
            <w:tcW w:w="0" w:type="auto"/>
            <w:vAlign w:val="center"/>
            <w:hideMark/>
          </w:tcPr>
          <w:p w:rsidR="00141933" w:rsidRPr="00333479" w:rsidRDefault="00141933" w:rsidP="003A39EF">
            <w:pPr>
              <w:spacing w:after="0" w:line="240" w:lineRule="auto"/>
              <w:ind w:firstLine="0"/>
              <w:jc w:val="left"/>
              <w:rPr>
                <w:rFonts w:eastAsia="Times New Roman"/>
                <w:szCs w:val="24"/>
                <w:lang w:eastAsia="el-GR"/>
              </w:rPr>
            </w:pPr>
            <w:r>
              <w:rPr>
                <w:rStyle w:val="tlid-translation"/>
              </w:rPr>
              <w:t xml:space="preserve">Μέσος όρος 40-45 ετών, με ευρεία κατανομή </w:t>
            </w:r>
            <w:r w:rsidR="003A39EF">
              <w:rPr>
                <w:rStyle w:val="tlid-translation"/>
              </w:rPr>
              <w:t>από</w:t>
            </w:r>
            <w:r>
              <w:rPr>
                <w:rStyle w:val="tlid-translation"/>
              </w:rPr>
              <w:t xml:space="preserve"> μικρά παιδιά </w:t>
            </w:r>
            <w:r w:rsidR="003A39EF">
              <w:rPr>
                <w:rStyle w:val="tlid-translation"/>
              </w:rPr>
              <w:t xml:space="preserve">έως και </w:t>
            </w:r>
            <w:r>
              <w:rPr>
                <w:rStyle w:val="tlid-translation"/>
              </w:rPr>
              <w:t>ηλικιωμένους</w:t>
            </w:r>
          </w:p>
        </w:tc>
        <w:tc>
          <w:tcPr>
            <w:tcW w:w="0" w:type="auto"/>
            <w:vAlign w:val="center"/>
            <w:hideMark/>
          </w:tcPr>
          <w:p w:rsidR="00141933" w:rsidRPr="00333479" w:rsidRDefault="00141933" w:rsidP="001E612F">
            <w:pPr>
              <w:spacing w:after="0" w:line="240" w:lineRule="auto"/>
              <w:ind w:firstLine="0"/>
              <w:jc w:val="left"/>
              <w:rPr>
                <w:rFonts w:eastAsia="Times New Roman"/>
                <w:szCs w:val="24"/>
                <w:lang w:val="en-US" w:eastAsia="el-GR"/>
              </w:rPr>
            </w:pPr>
            <w:r w:rsidRPr="00333479">
              <w:rPr>
                <w:rFonts w:eastAsia="Times New Roman"/>
                <w:szCs w:val="24"/>
                <w:lang w:val="en-US" w:eastAsia="el-GR"/>
              </w:rPr>
              <w:t>Kitley et al.,</w:t>
            </w:r>
            <w:r w:rsidR="001E612F">
              <w:rPr>
                <w:rFonts w:eastAsia="Times New Roman"/>
                <w:szCs w:val="24"/>
                <w:lang w:val="en-US" w:eastAsia="el-GR"/>
              </w:rPr>
              <w:t xml:space="preserve"> 2012</w:t>
            </w:r>
            <w:r w:rsidR="001E612F" w:rsidRPr="00333479">
              <w:rPr>
                <w:rFonts w:eastAsia="Times New Roman"/>
                <w:szCs w:val="24"/>
                <w:lang w:val="en-US" w:eastAsia="el-GR"/>
              </w:rPr>
              <w:t xml:space="preserve"> </w:t>
            </w:r>
          </w:p>
        </w:tc>
      </w:tr>
      <w:tr w:rsidR="00141933" w:rsidRPr="00333479" w:rsidTr="00141933">
        <w:trPr>
          <w:tblCellSpacing w:w="15" w:type="dxa"/>
        </w:trPr>
        <w:tc>
          <w:tcPr>
            <w:tcW w:w="0" w:type="auto"/>
            <w:gridSpan w:val="5"/>
            <w:vAlign w:val="center"/>
            <w:hideMark/>
          </w:tcPr>
          <w:p w:rsidR="003A39EF" w:rsidRPr="003A39EF" w:rsidRDefault="003A39EF" w:rsidP="003A39EF">
            <w:pPr>
              <w:spacing w:after="0" w:line="240" w:lineRule="auto"/>
              <w:ind w:firstLine="0"/>
              <w:jc w:val="left"/>
              <w:rPr>
                <w:rFonts w:eastAsia="Times New Roman"/>
                <w:b/>
                <w:szCs w:val="24"/>
                <w:lang w:eastAsia="el-GR"/>
              </w:rPr>
            </w:pPr>
            <w:r w:rsidRPr="003A39EF">
              <w:rPr>
                <w:rFonts w:eastAsia="Times New Roman"/>
                <w:b/>
                <w:szCs w:val="24"/>
                <w:lang w:eastAsia="el-GR"/>
              </w:rPr>
              <w:t>Συμπτώματα και ενδείξεις</w:t>
            </w:r>
          </w:p>
          <w:p w:rsidR="00141933" w:rsidRPr="00333479" w:rsidRDefault="00141933" w:rsidP="00141933">
            <w:pPr>
              <w:spacing w:after="0" w:line="240" w:lineRule="auto"/>
              <w:ind w:firstLine="0"/>
              <w:jc w:val="left"/>
              <w:rPr>
                <w:rFonts w:eastAsia="Times New Roman"/>
                <w:szCs w:val="24"/>
                <w:lang w:eastAsia="el-GR"/>
              </w:rPr>
            </w:pPr>
          </w:p>
        </w:tc>
      </w:tr>
      <w:tr w:rsidR="00115D6D" w:rsidRPr="00333479" w:rsidTr="00141933">
        <w:trPr>
          <w:tblCellSpacing w:w="15" w:type="dxa"/>
        </w:trPr>
        <w:tc>
          <w:tcPr>
            <w:tcW w:w="0" w:type="auto"/>
            <w:vAlign w:val="center"/>
            <w:hideMark/>
          </w:tcPr>
          <w:p w:rsidR="00141933" w:rsidRPr="00333479" w:rsidRDefault="003A39EF" w:rsidP="00141933">
            <w:pPr>
              <w:spacing w:after="0" w:line="240" w:lineRule="auto"/>
              <w:ind w:firstLine="0"/>
              <w:jc w:val="left"/>
              <w:rPr>
                <w:rFonts w:eastAsia="Times New Roman"/>
                <w:szCs w:val="24"/>
                <w:lang w:eastAsia="el-GR"/>
              </w:rPr>
            </w:pPr>
            <w:r>
              <w:rPr>
                <w:rStyle w:val="tlid-translation"/>
              </w:rPr>
              <w:t>Οπτική νευρίτιδα</w:t>
            </w:r>
          </w:p>
        </w:tc>
        <w:tc>
          <w:tcPr>
            <w:tcW w:w="0" w:type="auto"/>
            <w:vAlign w:val="center"/>
            <w:hideMark/>
          </w:tcPr>
          <w:p w:rsidR="00141933" w:rsidRPr="003A39EF" w:rsidRDefault="003A39EF" w:rsidP="000948F2">
            <w:pPr>
              <w:spacing w:after="0" w:line="240" w:lineRule="auto"/>
              <w:ind w:firstLine="0"/>
              <w:jc w:val="left"/>
              <w:rPr>
                <w:rFonts w:eastAsia="Times New Roman"/>
                <w:szCs w:val="24"/>
                <w:lang w:eastAsia="el-GR"/>
              </w:rPr>
            </w:pPr>
            <w:r>
              <w:rPr>
                <w:rStyle w:val="tlid-translation"/>
              </w:rPr>
              <w:t xml:space="preserve">Έλλειμμα στο οπτικό πεδίο </w:t>
            </w:r>
          </w:p>
        </w:tc>
        <w:tc>
          <w:tcPr>
            <w:tcW w:w="0" w:type="auto"/>
            <w:vAlign w:val="center"/>
            <w:hideMark/>
          </w:tcPr>
          <w:p w:rsidR="00141933" w:rsidRPr="00333479" w:rsidRDefault="003A39EF" w:rsidP="00141933">
            <w:pPr>
              <w:spacing w:after="0" w:line="240" w:lineRule="auto"/>
              <w:ind w:firstLine="0"/>
              <w:jc w:val="left"/>
              <w:rPr>
                <w:rFonts w:eastAsia="Times New Roman"/>
                <w:szCs w:val="24"/>
                <w:lang w:eastAsia="el-GR"/>
              </w:rPr>
            </w:pPr>
            <w:r>
              <w:rPr>
                <w:rStyle w:val="tlid-translation"/>
              </w:rPr>
              <w:t>Ασυνήθης</w:t>
            </w:r>
          </w:p>
        </w:tc>
        <w:tc>
          <w:tcPr>
            <w:tcW w:w="0" w:type="auto"/>
            <w:vAlign w:val="center"/>
            <w:hideMark/>
          </w:tcPr>
          <w:p w:rsidR="00141933" w:rsidRPr="00333479" w:rsidRDefault="003A39EF" w:rsidP="003A39EF">
            <w:pPr>
              <w:spacing w:after="0" w:line="240" w:lineRule="auto"/>
              <w:ind w:firstLine="0"/>
              <w:jc w:val="left"/>
              <w:rPr>
                <w:rFonts w:eastAsia="Times New Roman"/>
                <w:szCs w:val="24"/>
                <w:lang w:eastAsia="el-GR"/>
              </w:rPr>
            </w:pPr>
            <w:r>
              <w:rPr>
                <w:rStyle w:val="tlid-translation"/>
              </w:rPr>
              <w:t>Σχετικά συχνά (έως 25%)</w:t>
            </w:r>
          </w:p>
        </w:tc>
        <w:tc>
          <w:tcPr>
            <w:tcW w:w="0" w:type="auto"/>
            <w:vAlign w:val="center"/>
            <w:hideMark/>
          </w:tcPr>
          <w:p w:rsidR="00141933" w:rsidRPr="001E612F" w:rsidRDefault="00141933" w:rsidP="001E612F">
            <w:pPr>
              <w:spacing w:after="0" w:line="240" w:lineRule="auto"/>
              <w:ind w:firstLine="0"/>
              <w:jc w:val="left"/>
              <w:rPr>
                <w:rFonts w:eastAsia="Times New Roman"/>
                <w:szCs w:val="24"/>
                <w:lang w:val="en-US" w:eastAsia="el-GR"/>
              </w:rPr>
            </w:pPr>
            <w:proofErr w:type="spellStart"/>
            <w:r w:rsidRPr="00333479">
              <w:rPr>
                <w:rFonts w:eastAsia="Times New Roman"/>
                <w:szCs w:val="24"/>
                <w:lang w:eastAsia="el-GR"/>
              </w:rPr>
              <w:t>Nakajima</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1E612F">
              <w:rPr>
                <w:rFonts w:eastAsia="Times New Roman"/>
                <w:szCs w:val="24"/>
                <w:lang w:val="en-US" w:eastAsia="el-GR"/>
              </w:rPr>
              <w:t>, 210</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A39EF" w:rsidRDefault="003A39EF" w:rsidP="003A39EF">
            <w:pPr>
              <w:spacing w:after="0" w:line="240" w:lineRule="auto"/>
              <w:ind w:firstLine="0"/>
              <w:jc w:val="left"/>
              <w:rPr>
                <w:rFonts w:eastAsia="Times New Roman"/>
                <w:szCs w:val="24"/>
                <w:lang w:eastAsia="el-GR"/>
              </w:rPr>
            </w:pPr>
            <w:r>
              <w:rPr>
                <w:rStyle w:val="tlid-translation"/>
              </w:rPr>
              <w:t xml:space="preserve">Σοβαρή απώλεια όρασης (και στα δύο μάτια  </w:t>
            </w:r>
            <w:r>
              <w:rPr>
                <w:rStyle w:val="tlid-translation"/>
                <w:rFonts w:ascii="Cambria Math" w:hAnsi="Cambria Math" w:cs="Cambria Math"/>
              </w:rPr>
              <w:t>⩽</w:t>
            </w:r>
            <w:r>
              <w:rPr>
                <w:rStyle w:val="tlid-translation"/>
              </w:rPr>
              <w:t>0.1) στο χρόνιο στάδιο</w:t>
            </w:r>
          </w:p>
        </w:tc>
        <w:tc>
          <w:tcPr>
            <w:tcW w:w="0" w:type="auto"/>
            <w:vAlign w:val="center"/>
            <w:hideMark/>
          </w:tcPr>
          <w:p w:rsidR="00141933" w:rsidRPr="003A39EF" w:rsidRDefault="003A39EF" w:rsidP="003A39EF">
            <w:pPr>
              <w:spacing w:after="0" w:line="240" w:lineRule="auto"/>
              <w:ind w:firstLine="0"/>
              <w:jc w:val="left"/>
              <w:rPr>
                <w:rFonts w:eastAsia="Times New Roman"/>
                <w:szCs w:val="24"/>
                <w:lang w:eastAsia="el-GR"/>
              </w:rPr>
            </w:pPr>
            <w:r>
              <w:rPr>
                <w:rStyle w:val="tlid-translation"/>
              </w:rPr>
              <w:t>Ασυνήθης</w:t>
            </w:r>
            <w:r w:rsidRPr="003A39EF">
              <w:rPr>
                <w:rFonts w:eastAsia="Times New Roman"/>
                <w:szCs w:val="24"/>
                <w:lang w:eastAsia="el-GR"/>
              </w:rPr>
              <w:t xml:space="preserve"> </w:t>
            </w:r>
            <w:r w:rsidR="00141933" w:rsidRPr="003A39EF">
              <w:rPr>
                <w:rFonts w:eastAsia="Times New Roman"/>
                <w:szCs w:val="24"/>
                <w:lang w:eastAsia="el-GR"/>
              </w:rPr>
              <w:t xml:space="preserve">(4.2% </w:t>
            </w:r>
            <w:r>
              <w:rPr>
                <w:rStyle w:val="tlid-translation"/>
              </w:rPr>
              <w:t>σε 11 χρόνια μετά από την έναρξη της νόσου</w:t>
            </w:r>
            <w:r w:rsidR="00141933" w:rsidRPr="003A39EF">
              <w:rPr>
                <w:rFonts w:eastAsia="Times New Roman"/>
                <w:szCs w:val="24"/>
                <w:lang w:eastAsia="el-GR"/>
              </w:rPr>
              <w:t>)</w:t>
            </w:r>
          </w:p>
        </w:tc>
        <w:tc>
          <w:tcPr>
            <w:tcW w:w="0" w:type="auto"/>
            <w:vAlign w:val="center"/>
            <w:hideMark/>
          </w:tcPr>
          <w:p w:rsidR="00141933" w:rsidRPr="003A39EF" w:rsidRDefault="003A39EF" w:rsidP="003A39EF">
            <w:pPr>
              <w:spacing w:after="0" w:line="240" w:lineRule="auto"/>
              <w:ind w:firstLine="0"/>
              <w:jc w:val="left"/>
              <w:rPr>
                <w:rFonts w:eastAsia="Times New Roman"/>
                <w:szCs w:val="24"/>
                <w:lang w:eastAsia="el-GR"/>
              </w:rPr>
            </w:pPr>
            <w:r>
              <w:rPr>
                <w:rStyle w:val="tlid-translation"/>
              </w:rPr>
              <w:t>Συχνές (50% στα 10 χρόνια από την έναρξη της νόσου)</w:t>
            </w:r>
          </w:p>
        </w:tc>
        <w:tc>
          <w:tcPr>
            <w:tcW w:w="0" w:type="auto"/>
            <w:vAlign w:val="center"/>
            <w:hideMark/>
          </w:tcPr>
          <w:p w:rsidR="00141933" w:rsidRPr="00333479" w:rsidRDefault="00141933" w:rsidP="001E612F">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Merle</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1E612F">
              <w:rPr>
                <w:rFonts w:eastAsia="Times New Roman"/>
                <w:szCs w:val="24"/>
                <w:lang w:val="en-US" w:eastAsia="el-GR"/>
              </w:rPr>
              <w:t>, 2007</w:t>
            </w:r>
            <w:r w:rsidR="001E612F" w:rsidRPr="00333479">
              <w:rPr>
                <w:rFonts w:eastAsia="Times New Roman"/>
                <w:szCs w:val="24"/>
                <w:lang w:eastAsia="el-GR"/>
              </w:rPr>
              <w:t xml:space="preserve"> </w:t>
            </w:r>
          </w:p>
        </w:tc>
      </w:tr>
      <w:tr w:rsidR="00115D6D" w:rsidRPr="00333479" w:rsidTr="00141933">
        <w:trPr>
          <w:tblCellSpacing w:w="15" w:type="dxa"/>
        </w:trPr>
        <w:tc>
          <w:tcPr>
            <w:tcW w:w="0" w:type="auto"/>
            <w:vAlign w:val="center"/>
            <w:hideMark/>
          </w:tcPr>
          <w:p w:rsidR="00141933" w:rsidRPr="00333479" w:rsidRDefault="003A39EF" w:rsidP="00141933">
            <w:pPr>
              <w:spacing w:after="0" w:line="240" w:lineRule="auto"/>
              <w:ind w:firstLine="0"/>
              <w:jc w:val="left"/>
              <w:rPr>
                <w:rFonts w:eastAsia="Times New Roman"/>
                <w:szCs w:val="24"/>
                <w:lang w:eastAsia="el-GR"/>
              </w:rPr>
            </w:pPr>
            <w:r>
              <w:rPr>
                <w:rStyle w:val="tlid-translation"/>
              </w:rPr>
              <w:t>Μυελίτιδα</w:t>
            </w:r>
          </w:p>
        </w:tc>
        <w:tc>
          <w:tcPr>
            <w:tcW w:w="0" w:type="auto"/>
            <w:vAlign w:val="center"/>
            <w:hideMark/>
          </w:tcPr>
          <w:p w:rsidR="00141933" w:rsidRPr="000948F2" w:rsidRDefault="000948F2" w:rsidP="00141933">
            <w:pPr>
              <w:spacing w:after="0" w:line="240" w:lineRule="auto"/>
              <w:ind w:firstLine="0"/>
              <w:jc w:val="left"/>
              <w:rPr>
                <w:rFonts w:eastAsia="Times New Roman"/>
                <w:szCs w:val="24"/>
                <w:lang w:eastAsia="el-GR"/>
              </w:rPr>
            </w:pPr>
            <w:r>
              <w:rPr>
                <w:rStyle w:val="tlid-translation"/>
              </w:rPr>
              <w:t>Σοβαρή μυελίτιδα που προκαλεί πλήρη παραπληγία</w:t>
            </w:r>
          </w:p>
        </w:tc>
        <w:tc>
          <w:tcPr>
            <w:tcW w:w="0" w:type="auto"/>
            <w:vAlign w:val="center"/>
            <w:hideMark/>
          </w:tcPr>
          <w:p w:rsidR="00141933" w:rsidRPr="00333479" w:rsidRDefault="003A39EF" w:rsidP="00141933">
            <w:pPr>
              <w:spacing w:after="0" w:line="240" w:lineRule="auto"/>
              <w:ind w:firstLine="0"/>
              <w:jc w:val="left"/>
              <w:rPr>
                <w:rFonts w:eastAsia="Times New Roman"/>
                <w:szCs w:val="24"/>
                <w:lang w:eastAsia="el-GR"/>
              </w:rPr>
            </w:pPr>
            <w:r>
              <w:rPr>
                <w:rFonts w:eastAsia="Times New Roman"/>
                <w:szCs w:val="24"/>
                <w:lang w:eastAsia="el-GR"/>
              </w:rPr>
              <w:t>Σπάνια</w:t>
            </w:r>
          </w:p>
        </w:tc>
        <w:tc>
          <w:tcPr>
            <w:tcW w:w="0" w:type="auto"/>
            <w:vAlign w:val="center"/>
            <w:hideMark/>
          </w:tcPr>
          <w:p w:rsidR="00141933" w:rsidRPr="000948F2" w:rsidRDefault="000948F2" w:rsidP="00141933">
            <w:pPr>
              <w:spacing w:after="0" w:line="240" w:lineRule="auto"/>
              <w:ind w:firstLine="0"/>
              <w:jc w:val="left"/>
              <w:rPr>
                <w:rFonts w:eastAsia="Times New Roman"/>
                <w:szCs w:val="24"/>
                <w:lang w:eastAsia="el-GR"/>
              </w:rPr>
            </w:pPr>
            <w:r>
              <w:rPr>
                <w:rStyle w:val="tlid-translation"/>
              </w:rPr>
              <w:t>Σχετικά συχνά (30-70% στην πρώτη επίθεση)</w:t>
            </w:r>
          </w:p>
        </w:tc>
        <w:tc>
          <w:tcPr>
            <w:tcW w:w="0" w:type="auto"/>
            <w:vAlign w:val="center"/>
            <w:hideMark/>
          </w:tcPr>
          <w:p w:rsidR="00141933" w:rsidRPr="00333479" w:rsidRDefault="00141933" w:rsidP="001E612F">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Wingerchuk</w:t>
            </w:r>
            <w:proofErr w:type="spellEnd"/>
            <w:r w:rsidR="001E612F">
              <w:rPr>
                <w:rFonts w:eastAsia="Times New Roman"/>
                <w:szCs w:val="24"/>
                <w:lang w:val="en-US" w:eastAsia="el-GR"/>
              </w:rPr>
              <w:t>, 2004</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0948F2" w:rsidRDefault="000948F2" w:rsidP="000948F2">
            <w:pPr>
              <w:spacing w:after="0" w:line="240" w:lineRule="auto"/>
              <w:ind w:firstLine="0"/>
              <w:jc w:val="left"/>
              <w:rPr>
                <w:rFonts w:eastAsia="Times New Roman"/>
                <w:szCs w:val="24"/>
                <w:lang w:eastAsia="el-GR"/>
              </w:rPr>
            </w:pPr>
            <w:r>
              <w:rPr>
                <w:rStyle w:val="tlid-translation"/>
              </w:rPr>
              <w:t>Οδυνηρός σπασμός που σχετίζεται με μυελίτιδα</w:t>
            </w:r>
          </w:p>
        </w:tc>
        <w:tc>
          <w:tcPr>
            <w:tcW w:w="0" w:type="auto"/>
            <w:vAlign w:val="center"/>
            <w:hideMark/>
          </w:tcPr>
          <w:p w:rsidR="00141933" w:rsidRPr="00333479" w:rsidRDefault="003A39EF" w:rsidP="00141933">
            <w:pPr>
              <w:spacing w:after="0" w:line="240" w:lineRule="auto"/>
              <w:ind w:firstLine="0"/>
              <w:jc w:val="left"/>
              <w:rPr>
                <w:rFonts w:eastAsia="Times New Roman"/>
                <w:szCs w:val="24"/>
                <w:lang w:eastAsia="el-GR"/>
              </w:rPr>
            </w:pPr>
            <w:r>
              <w:rPr>
                <w:rFonts w:eastAsia="Times New Roman"/>
                <w:szCs w:val="24"/>
                <w:lang w:eastAsia="el-GR"/>
              </w:rPr>
              <w:t>Σπάνια</w:t>
            </w:r>
          </w:p>
        </w:tc>
        <w:tc>
          <w:tcPr>
            <w:tcW w:w="0" w:type="auto"/>
            <w:vAlign w:val="center"/>
            <w:hideMark/>
          </w:tcPr>
          <w:p w:rsidR="00141933" w:rsidRPr="00333479" w:rsidRDefault="000948F2" w:rsidP="000948F2">
            <w:pPr>
              <w:spacing w:after="0" w:line="240" w:lineRule="auto"/>
              <w:ind w:firstLine="0"/>
              <w:jc w:val="left"/>
              <w:rPr>
                <w:rFonts w:eastAsia="Times New Roman"/>
                <w:szCs w:val="24"/>
                <w:lang w:eastAsia="el-GR"/>
              </w:rPr>
            </w:pPr>
            <w:r>
              <w:rPr>
                <w:rStyle w:val="tlid-translation"/>
              </w:rPr>
              <w:t xml:space="preserve">Σχετικά συχνά </w:t>
            </w:r>
            <w:r w:rsidR="00141933" w:rsidRPr="00333479">
              <w:rPr>
                <w:rFonts w:eastAsia="Times New Roman"/>
                <w:szCs w:val="24"/>
                <w:lang w:eastAsia="el-GR"/>
              </w:rPr>
              <w:t>(</w:t>
            </w:r>
            <w:r>
              <w:rPr>
                <w:rFonts w:eastAsia="Times New Roman"/>
                <w:szCs w:val="24"/>
                <w:lang w:eastAsia="el-GR"/>
              </w:rPr>
              <w:t>έως</w:t>
            </w:r>
            <w:r w:rsidR="00141933" w:rsidRPr="00333479">
              <w:rPr>
                <w:rFonts w:eastAsia="Times New Roman"/>
                <w:szCs w:val="24"/>
                <w:lang w:eastAsia="el-GR"/>
              </w:rPr>
              <w:t xml:space="preserve"> 25%)</w:t>
            </w:r>
          </w:p>
        </w:tc>
        <w:tc>
          <w:tcPr>
            <w:tcW w:w="0" w:type="auto"/>
            <w:vAlign w:val="center"/>
            <w:hideMark/>
          </w:tcPr>
          <w:p w:rsidR="00141933" w:rsidRPr="00333479" w:rsidRDefault="00141933" w:rsidP="00F9762E">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Kim</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F9762E">
              <w:rPr>
                <w:rFonts w:eastAsia="Times New Roman"/>
                <w:szCs w:val="24"/>
                <w:lang w:val="en-US" w:eastAsia="el-GR"/>
              </w:rPr>
              <w:t>, 2012</w:t>
            </w:r>
          </w:p>
        </w:tc>
      </w:tr>
      <w:tr w:rsidR="00115D6D" w:rsidRPr="00333479" w:rsidTr="00141933">
        <w:trPr>
          <w:tblCellSpacing w:w="15" w:type="dxa"/>
        </w:trPr>
        <w:tc>
          <w:tcPr>
            <w:tcW w:w="0" w:type="auto"/>
            <w:vAlign w:val="center"/>
            <w:hideMark/>
          </w:tcPr>
          <w:p w:rsidR="00141933" w:rsidRPr="00333479" w:rsidRDefault="003A39EF" w:rsidP="00141933">
            <w:pPr>
              <w:spacing w:after="0" w:line="240" w:lineRule="auto"/>
              <w:ind w:firstLine="0"/>
              <w:jc w:val="left"/>
              <w:rPr>
                <w:rFonts w:eastAsia="Times New Roman"/>
                <w:szCs w:val="24"/>
                <w:lang w:eastAsia="el-GR"/>
              </w:rPr>
            </w:pPr>
            <w:r>
              <w:rPr>
                <w:rStyle w:val="tlid-translation"/>
              </w:rPr>
              <w:t>Εγκέφαλος</w:t>
            </w:r>
          </w:p>
        </w:tc>
        <w:tc>
          <w:tcPr>
            <w:tcW w:w="0" w:type="auto"/>
            <w:vAlign w:val="center"/>
            <w:hideMark/>
          </w:tcPr>
          <w:p w:rsidR="00141933" w:rsidRPr="000948F2" w:rsidRDefault="000948F2" w:rsidP="000948F2">
            <w:pPr>
              <w:spacing w:after="0" w:line="240" w:lineRule="auto"/>
              <w:ind w:firstLine="0"/>
              <w:jc w:val="left"/>
              <w:rPr>
                <w:rFonts w:eastAsia="Times New Roman"/>
                <w:szCs w:val="24"/>
                <w:lang w:eastAsia="el-GR"/>
              </w:rPr>
            </w:pPr>
            <w:r>
              <w:rPr>
                <w:rStyle w:val="tlid-translation"/>
              </w:rPr>
              <w:t xml:space="preserve">Ανυπόφορος </w:t>
            </w:r>
            <w:proofErr w:type="spellStart"/>
            <w:r>
              <w:rPr>
                <w:rStyle w:val="tlid-translation"/>
              </w:rPr>
              <w:t>λόξυγγας</w:t>
            </w:r>
            <w:proofErr w:type="spellEnd"/>
            <w:r>
              <w:rPr>
                <w:rStyle w:val="tlid-translation"/>
              </w:rPr>
              <w:t xml:space="preserve"> και ναυτία</w:t>
            </w:r>
            <w:r>
              <w:br/>
            </w:r>
            <w:r>
              <w:rPr>
                <w:rStyle w:val="tlid-translation"/>
              </w:rPr>
              <w:t>(σχετίζεται με βλάβες μετά από οίδημα της περιοχής)</w:t>
            </w:r>
          </w:p>
        </w:tc>
        <w:tc>
          <w:tcPr>
            <w:tcW w:w="0" w:type="auto"/>
            <w:vAlign w:val="center"/>
            <w:hideMark/>
          </w:tcPr>
          <w:p w:rsidR="00141933" w:rsidRPr="00333479" w:rsidRDefault="003A39EF" w:rsidP="00141933">
            <w:pPr>
              <w:spacing w:after="0" w:line="240" w:lineRule="auto"/>
              <w:ind w:firstLine="0"/>
              <w:jc w:val="left"/>
              <w:rPr>
                <w:rFonts w:eastAsia="Times New Roman"/>
                <w:szCs w:val="24"/>
                <w:lang w:eastAsia="el-GR"/>
              </w:rPr>
            </w:pPr>
            <w:r>
              <w:rPr>
                <w:rFonts w:eastAsia="Times New Roman"/>
                <w:szCs w:val="24"/>
                <w:lang w:eastAsia="el-GR"/>
              </w:rPr>
              <w:t>Σπάνια</w:t>
            </w:r>
          </w:p>
        </w:tc>
        <w:tc>
          <w:tcPr>
            <w:tcW w:w="0" w:type="auto"/>
            <w:vAlign w:val="center"/>
            <w:hideMark/>
          </w:tcPr>
          <w:p w:rsidR="00141933" w:rsidRPr="00333479" w:rsidRDefault="000948F2" w:rsidP="00141933">
            <w:pPr>
              <w:spacing w:after="0" w:line="240" w:lineRule="auto"/>
              <w:ind w:firstLine="0"/>
              <w:jc w:val="left"/>
              <w:rPr>
                <w:rFonts w:eastAsia="Times New Roman"/>
                <w:szCs w:val="24"/>
                <w:lang w:eastAsia="el-GR"/>
              </w:rPr>
            </w:pPr>
            <w:r>
              <w:rPr>
                <w:rStyle w:val="tlid-translation"/>
              </w:rPr>
              <w:t xml:space="preserve">Σχετικά συχνά </w:t>
            </w:r>
            <w:r w:rsidR="00141933" w:rsidRPr="00333479">
              <w:rPr>
                <w:rFonts w:eastAsia="Times New Roman"/>
                <w:szCs w:val="24"/>
                <w:lang w:eastAsia="el-GR"/>
              </w:rPr>
              <w:t>(12–17%)</w:t>
            </w:r>
          </w:p>
        </w:tc>
        <w:tc>
          <w:tcPr>
            <w:tcW w:w="0" w:type="auto"/>
            <w:vAlign w:val="center"/>
            <w:hideMark/>
          </w:tcPr>
          <w:p w:rsidR="00141933" w:rsidRPr="00333479" w:rsidRDefault="00F9762E" w:rsidP="00F9762E">
            <w:pPr>
              <w:spacing w:after="0" w:line="240" w:lineRule="auto"/>
              <w:ind w:firstLine="0"/>
              <w:jc w:val="left"/>
              <w:rPr>
                <w:rFonts w:eastAsia="Times New Roman"/>
                <w:szCs w:val="24"/>
                <w:lang w:eastAsia="el-GR"/>
              </w:rPr>
            </w:pPr>
            <w:r>
              <w:rPr>
                <w:rFonts w:eastAsia="Times New Roman"/>
                <w:szCs w:val="24"/>
                <w:lang w:val="en-US" w:eastAsia="el-GR"/>
              </w:rPr>
              <w:t>Apiwattanakul et al., 2010</w:t>
            </w:r>
          </w:p>
        </w:tc>
      </w:tr>
      <w:tr w:rsidR="00141933" w:rsidRPr="00333479" w:rsidTr="00141933">
        <w:trPr>
          <w:tblCellSpacing w:w="15" w:type="dxa"/>
        </w:trPr>
        <w:tc>
          <w:tcPr>
            <w:tcW w:w="0" w:type="auto"/>
            <w:gridSpan w:val="5"/>
            <w:vAlign w:val="center"/>
            <w:hideMark/>
          </w:tcPr>
          <w:p w:rsidR="00141933" w:rsidRPr="00333479" w:rsidRDefault="00141933" w:rsidP="000948F2">
            <w:pPr>
              <w:spacing w:after="0" w:line="240" w:lineRule="auto"/>
              <w:ind w:firstLine="0"/>
              <w:jc w:val="left"/>
              <w:rPr>
                <w:rFonts w:eastAsia="Times New Roman"/>
                <w:szCs w:val="24"/>
                <w:lang w:eastAsia="el-GR"/>
              </w:rPr>
            </w:pPr>
            <w:r w:rsidRPr="00333479">
              <w:rPr>
                <w:rFonts w:eastAsia="Times New Roman"/>
                <w:b/>
                <w:bCs/>
                <w:szCs w:val="24"/>
                <w:lang w:eastAsia="el-GR"/>
              </w:rPr>
              <w:t xml:space="preserve">MRI </w:t>
            </w:r>
            <w:r w:rsidR="000948F2">
              <w:rPr>
                <w:rFonts w:eastAsia="Times New Roman"/>
                <w:b/>
                <w:bCs/>
                <w:szCs w:val="24"/>
                <w:lang w:eastAsia="el-GR"/>
              </w:rPr>
              <w:t>ευρήματα</w:t>
            </w:r>
          </w:p>
        </w:tc>
      </w:tr>
      <w:tr w:rsidR="00115D6D" w:rsidRPr="00333479" w:rsidTr="00141933">
        <w:trPr>
          <w:tblCellSpacing w:w="15" w:type="dxa"/>
        </w:trPr>
        <w:tc>
          <w:tcPr>
            <w:tcW w:w="0" w:type="auto"/>
            <w:vAlign w:val="center"/>
            <w:hideMark/>
          </w:tcPr>
          <w:p w:rsidR="00141933" w:rsidRPr="00333479" w:rsidRDefault="000948F2" w:rsidP="00141933">
            <w:pPr>
              <w:spacing w:after="0" w:line="240" w:lineRule="auto"/>
              <w:ind w:firstLine="0"/>
              <w:jc w:val="left"/>
              <w:rPr>
                <w:rFonts w:eastAsia="Times New Roman"/>
                <w:szCs w:val="24"/>
                <w:lang w:eastAsia="el-GR"/>
              </w:rPr>
            </w:pPr>
            <w:r>
              <w:rPr>
                <w:rStyle w:val="tlid-translation"/>
              </w:rPr>
              <w:t>Νωτιαίος μυελός</w:t>
            </w:r>
          </w:p>
        </w:tc>
        <w:tc>
          <w:tcPr>
            <w:tcW w:w="0" w:type="auto"/>
            <w:vAlign w:val="center"/>
            <w:hideMark/>
          </w:tcPr>
          <w:p w:rsidR="00141933" w:rsidRPr="000948F2" w:rsidRDefault="00AE4319" w:rsidP="00141933">
            <w:pPr>
              <w:spacing w:after="0" w:line="240" w:lineRule="auto"/>
              <w:ind w:firstLine="0"/>
              <w:jc w:val="left"/>
              <w:rPr>
                <w:rFonts w:eastAsia="Times New Roman"/>
                <w:szCs w:val="24"/>
                <w:lang w:eastAsia="el-GR"/>
              </w:rPr>
            </w:pPr>
            <w:r>
              <w:rPr>
                <w:rStyle w:val="tlid-translation"/>
              </w:rPr>
              <w:t>Διαμήκους</w:t>
            </w:r>
            <w:r w:rsidR="000948F2">
              <w:rPr>
                <w:rStyle w:val="tlid-translation"/>
              </w:rPr>
              <w:t xml:space="preserve"> εκτεταμένη σπονδυλική βλάβη που εκτείνεται σε τρία ή περισσότερα σπονδυλικά τμήματα</w:t>
            </w:r>
          </w:p>
        </w:tc>
        <w:tc>
          <w:tcPr>
            <w:tcW w:w="0" w:type="auto"/>
            <w:vAlign w:val="center"/>
            <w:hideMark/>
          </w:tcPr>
          <w:p w:rsidR="00141933" w:rsidRPr="000948F2" w:rsidRDefault="000948F2" w:rsidP="000948F2">
            <w:pPr>
              <w:spacing w:after="0" w:line="240" w:lineRule="auto"/>
              <w:ind w:firstLine="0"/>
              <w:jc w:val="left"/>
              <w:rPr>
                <w:rFonts w:eastAsia="Times New Roman"/>
                <w:szCs w:val="24"/>
                <w:lang w:eastAsia="el-GR"/>
              </w:rPr>
            </w:pPr>
            <w:r>
              <w:rPr>
                <w:rStyle w:val="tlid-translation"/>
              </w:rPr>
              <w:t>Ενήλικες: Σπάνια (&lt;5%)</w:t>
            </w:r>
            <w:r>
              <w:br/>
            </w:r>
            <w:r>
              <w:rPr>
                <w:rStyle w:val="tlid-translation"/>
              </w:rPr>
              <w:t>Ανήλικα παιδιά: σχετικά ασυνήθιστη (14%)</w:t>
            </w:r>
          </w:p>
        </w:tc>
        <w:tc>
          <w:tcPr>
            <w:tcW w:w="0" w:type="auto"/>
            <w:vAlign w:val="center"/>
            <w:hideMark/>
          </w:tcPr>
          <w:p w:rsidR="00141933" w:rsidRPr="00556771" w:rsidRDefault="00556771" w:rsidP="00556771">
            <w:pPr>
              <w:spacing w:after="0" w:line="240" w:lineRule="auto"/>
              <w:ind w:firstLine="0"/>
              <w:jc w:val="left"/>
              <w:rPr>
                <w:rFonts w:eastAsia="Times New Roman"/>
                <w:szCs w:val="24"/>
                <w:lang w:eastAsia="el-GR"/>
              </w:rPr>
            </w:pPr>
            <w:r>
              <w:rPr>
                <w:rStyle w:val="tlid-translation"/>
              </w:rPr>
              <w:t>Ενήλικες: πολύ συχνά (έως 94%)</w:t>
            </w:r>
            <w:r>
              <w:br/>
            </w:r>
            <w:r>
              <w:rPr>
                <w:rStyle w:val="tlid-translation"/>
              </w:rPr>
              <w:t>Ανήλικα παιδιά: πολύ συχνά (έως 100%)</w:t>
            </w:r>
          </w:p>
        </w:tc>
        <w:tc>
          <w:tcPr>
            <w:tcW w:w="0" w:type="auto"/>
            <w:vAlign w:val="center"/>
            <w:hideMark/>
          </w:tcPr>
          <w:p w:rsidR="00141933" w:rsidRPr="00333479" w:rsidRDefault="00141933" w:rsidP="00F9762E">
            <w:pPr>
              <w:spacing w:after="0" w:line="240" w:lineRule="auto"/>
              <w:ind w:firstLine="0"/>
              <w:jc w:val="left"/>
              <w:rPr>
                <w:rFonts w:eastAsia="Times New Roman"/>
                <w:szCs w:val="24"/>
                <w:lang w:eastAsia="el-GR"/>
              </w:rPr>
            </w:pPr>
            <w:r w:rsidRPr="00333479">
              <w:rPr>
                <w:rFonts w:eastAsia="Times New Roman"/>
                <w:szCs w:val="24"/>
                <w:lang w:val="en-US" w:eastAsia="el-GR"/>
              </w:rPr>
              <w:t>Banwell et al.</w:t>
            </w:r>
            <w:r w:rsidR="00F9762E">
              <w:rPr>
                <w:rFonts w:eastAsia="Times New Roman"/>
                <w:szCs w:val="24"/>
                <w:lang w:val="en-US" w:eastAsia="el-GR"/>
              </w:rPr>
              <w:t>, 2008</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AE4319" w:rsidRDefault="00AE4319" w:rsidP="00141933">
            <w:pPr>
              <w:spacing w:after="0" w:line="240" w:lineRule="auto"/>
              <w:ind w:firstLine="0"/>
              <w:jc w:val="left"/>
              <w:rPr>
                <w:rFonts w:eastAsia="Times New Roman"/>
                <w:szCs w:val="24"/>
                <w:lang w:eastAsia="el-GR"/>
              </w:rPr>
            </w:pPr>
            <w:r>
              <w:rPr>
                <w:rStyle w:val="tlid-translation"/>
              </w:rPr>
              <w:t>Θέση των σπονδυλικών βλαβών στην αξονική εικόνα</w:t>
            </w:r>
          </w:p>
        </w:tc>
        <w:tc>
          <w:tcPr>
            <w:tcW w:w="0" w:type="auto"/>
            <w:vAlign w:val="center"/>
            <w:hideMark/>
          </w:tcPr>
          <w:p w:rsidR="00141933" w:rsidRPr="00AE4319" w:rsidRDefault="00AE4319" w:rsidP="00141933">
            <w:pPr>
              <w:spacing w:after="0" w:line="240" w:lineRule="auto"/>
              <w:ind w:firstLine="0"/>
              <w:jc w:val="left"/>
              <w:rPr>
                <w:rFonts w:eastAsia="Times New Roman"/>
                <w:szCs w:val="24"/>
                <w:lang w:eastAsia="el-GR"/>
              </w:rPr>
            </w:pPr>
            <w:r>
              <w:rPr>
                <w:rStyle w:val="tlid-translation"/>
              </w:rPr>
              <w:t>Ασύμμετρη και περιφερειακή, συχνά οπίσθια εμπλοκή</w:t>
            </w:r>
          </w:p>
        </w:tc>
        <w:tc>
          <w:tcPr>
            <w:tcW w:w="0" w:type="auto"/>
            <w:vAlign w:val="center"/>
            <w:hideMark/>
          </w:tcPr>
          <w:p w:rsidR="00141933" w:rsidRPr="00AE4319" w:rsidRDefault="00AE4319" w:rsidP="00141933">
            <w:pPr>
              <w:spacing w:after="0" w:line="240" w:lineRule="auto"/>
              <w:ind w:firstLine="0"/>
              <w:jc w:val="left"/>
              <w:rPr>
                <w:rFonts w:eastAsia="Times New Roman"/>
                <w:szCs w:val="24"/>
                <w:lang w:eastAsia="el-GR"/>
              </w:rPr>
            </w:pPr>
            <w:r>
              <w:rPr>
                <w:rStyle w:val="tlid-translation"/>
              </w:rPr>
              <w:t>Κεντρική εμπλοκή της</w:t>
            </w:r>
            <w:r w:rsidRPr="00AE4319">
              <w:rPr>
                <w:rStyle w:val="tlid-translation"/>
              </w:rPr>
              <w:t xml:space="preserve"> </w:t>
            </w:r>
            <w:r>
              <w:rPr>
                <w:rStyle w:val="tlid-translation"/>
              </w:rPr>
              <w:t>φαιάς ουσίας</w:t>
            </w:r>
          </w:p>
        </w:tc>
        <w:tc>
          <w:tcPr>
            <w:tcW w:w="0" w:type="auto"/>
            <w:vAlign w:val="center"/>
            <w:hideMark/>
          </w:tcPr>
          <w:p w:rsidR="00141933" w:rsidRPr="00333479" w:rsidRDefault="00141933" w:rsidP="00BF2EC1">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Kim</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BF2EC1">
              <w:rPr>
                <w:rFonts w:eastAsia="Times New Roman"/>
                <w:szCs w:val="24"/>
                <w:lang w:val="en-US" w:eastAsia="el-GR"/>
              </w:rPr>
              <w:t>, 2015</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AE4319" w:rsidRDefault="00AE4319" w:rsidP="00AE4319">
            <w:pPr>
              <w:spacing w:after="0" w:line="240" w:lineRule="auto"/>
              <w:ind w:firstLine="0"/>
              <w:jc w:val="left"/>
              <w:rPr>
                <w:rFonts w:eastAsia="Times New Roman"/>
                <w:szCs w:val="24"/>
                <w:lang w:eastAsia="el-GR"/>
              </w:rPr>
            </w:pPr>
            <w:r>
              <w:rPr>
                <w:rStyle w:val="tlid-translation"/>
              </w:rPr>
              <w:t>Φωτεινές βλάβες, που ορίζονται ως πολύ υπερτασικές βλάβες στο αξονικό T2WI</w:t>
            </w:r>
          </w:p>
        </w:tc>
        <w:tc>
          <w:tcPr>
            <w:tcW w:w="0" w:type="auto"/>
            <w:vAlign w:val="center"/>
            <w:hideMark/>
          </w:tcPr>
          <w:p w:rsidR="00141933" w:rsidRPr="00333479" w:rsidRDefault="00AE4319" w:rsidP="00141933">
            <w:pPr>
              <w:spacing w:after="0" w:line="240" w:lineRule="auto"/>
              <w:ind w:firstLine="0"/>
              <w:jc w:val="left"/>
              <w:rPr>
                <w:rFonts w:eastAsia="Times New Roman"/>
                <w:szCs w:val="24"/>
                <w:lang w:eastAsia="el-GR"/>
              </w:rPr>
            </w:pPr>
            <w:r>
              <w:rPr>
                <w:rFonts w:eastAsia="Times New Roman"/>
                <w:szCs w:val="24"/>
                <w:lang w:eastAsia="el-GR"/>
              </w:rPr>
              <w:t>Σπανίως</w:t>
            </w:r>
            <w:r w:rsidR="00141933" w:rsidRPr="00333479">
              <w:rPr>
                <w:rFonts w:eastAsia="Times New Roman"/>
                <w:szCs w:val="24"/>
                <w:lang w:eastAsia="el-GR"/>
              </w:rPr>
              <w:t xml:space="preserve"> (3%)</w:t>
            </w:r>
          </w:p>
        </w:tc>
        <w:tc>
          <w:tcPr>
            <w:tcW w:w="0" w:type="auto"/>
            <w:vAlign w:val="center"/>
            <w:hideMark/>
          </w:tcPr>
          <w:p w:rsidR="00141933" w:rsidRPr="00333479" w:rsidRDefault="00AE4319" w:rsidP="00141933">
            <w:pPr>
              <w:spacing w:after="0" w:line="240" w:lineRule="auto"/>
              <w:ind w:firstLine="0"/>
              <w:jc w:val="left"/>
              <w:rPr>
                <w:rFonts w:eastAsia="Times New Roman"/>
                <w:szCs w:val="24"/>
                <w:lang w:eastAsia="el-GR"/>
              </w:rPr>
            </w:pPr>
            <w:r>
              <w:rPr>
                <w:rFonts w:eastAsia="Times New Roman"/>
                <w:szCs w:val="24"/>
                <w:lang w:eastAsia="el-GR"/>
              </w:rPr>
              <w:t>Συχνά</w:t>
            </w:r>
            <w:r w:rsidR="00141933" w:rsidRPr="00333479">
              <w:rPr>
                <w:rFonts w:eastAsia="Times New Roman"/>
                <w:szCs w:val="24"/>
                <w:lang w:eastAsia="el-GR"/>
              </w:rPr>
              <w:t xml:space="preserve"> (54%)</w:t>
            </w:r>
          </w:p>
        </w:tc>
        <w:tc>
          <w:tcPr>
            <w:tcW w:w="0" w:type="auto"/>
            <w:vAlign w:val="center"/>
            <w:hideMark/>
          </w:tcPr>
          <w:p w:rsidR="00141933" w:rsidRPr="00333479" w:rsidRDefault="00141933" w:rsidP="00BF2EC1">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Yonezu</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BF2EC1">
              <w:rPr>
                <w:rFonts w:eastAsia="Times New Roman"/>
                <w:szCs w:val="24"/>
                <w:lang w:val="en-US" w:eastAsia="el-GR"/>
              </w:rPr>
              <w:t>, 2014</w:t>
            </w:r>
          </w:p>
        </w:tc>
      </w:tr>
      <w:tr w:rsidR="00115D6D" w:rsidRPr="00333479" w:rsidTr="00141933">
        <w:trPr>
          <w:tblCellSpacing w:w="15" w:type="dxa"/>
        </w:trPr>
        <w:tc>
          <w:tcPr>
            <w:tcW w:w="0" w:type="auto"/>
            <w:vAlign w:val="center"/>
            <w:hideMark/>
          </w:tcPr>
          <w:p w:rsidR="00141933" w:rsidRPr="00333479" w:rsidRDefault="00AE4319" w:rsidP="00141933">
            <w:pPr>
              <w:spacing w:after="0" w:line="240" w:lineRule="auto"/>
              <w:ind w:firstLine="0"/>
              <w:jc w:val="left"/>
              <w:rPr>
                <w:rFonts w:eastAsia="Times New Roman"/>
                <w:szCs w:val="24"/>
                <w:lang w:eastAsia="el-GR"/>
              </w:rPr>
            </w:pPr>
            <w:r>
              <w:rPr>
                <w:rFonts w:eastAsia="Times New Roman"/>
                <w:szCs w:val="24"/>
                <w:lang w:eastAsia="el-GR"/>
              </w:rPr>
              <w:t>Εγκέφαλος</w:t>
            </w:r>
          </w:p>
        </w:tc>
        <w:tc>
          <w:tcPr>
            <w:tcW w:w="0" w:type="auto"/>
            <w:vAlign w:val="center"/>
            <w:hideMark/>
          </w:tcPr>
          <w:p w:rsidR="00141933" w:rsidRPr="00801CBF" w:rsidRDefault="00801CBF" w:rsidP="00801CBF">
            <w:pPr>
              <w:spacing w:after="0" w:line="240" w:lineRule="auto"/>
              <w:ind w:firstLine="0"/>
              <w:jc w:val="left"/>
              <w:rPr>
                <w:rFonts w:eastAsia="Times New Roman"/>
                <w:szCs w:val="24"/>
                <w:lang w:eastAsia="el-GR"/>
              </w:rPr>
            </w:pPr>
            <w:r>
              <w:rPr>
                <w:rFonts w:eastAsia="Times New Roman"/>
                <w:szCs w:val="24"/>
                <w:lang w:eastAsia="el-GR"/>
              </w:rPr>
              <w:t>Πολλαπλή</w:t>
            </w:r>
            <w:r w:rsidRPr="00801CBF">
              <w:rPr>
                <w:rFonts w:eastAsia="Times New Roman"/>
                <w:szCs w:val="24"/>
                <w:lang w:eastAsia="el-GR"/>
              </w:rPr>
              <w:t xml:space="preserve"> </w:t>
            </w:r>
            <w:r>
              <w:rPr>
                <w:rFonts w:eastAsia="Times New Roman"/>
                <w:szCs w:val="24"/>
                <w:lang w:eastAsia="el-GR"/>
              </w:rPr>
              <w:t>βελτιωμένη</w:t>
            </w:r>
            <w:r w:rsidRPr="00801CBF">
              <w:rPr>
                <w:rFonts w:eastAsia="Times New Roman"/>
                <w:szCs w:val="24"/>
                <w:lang w:eastAsia="el-GR"/>
              </w:rPr>
              <w:t xml:space="preserve"> </w:t>
            </w:r>
            <w:r>
              <w:rPr>
                <w:rFonts w:eastAsia="Times New Roman"/>
                <w:szCs w:val="24"/>
                <w:lang w:eastAsia="el-GR"/>
              </w:rPr>
              <w:t>ενίσχυση</w:t>
            </w:r>
            <w:r w:rsidRPr="00801CBF">
              <w:rPr>
                <w:rFonts w:eastAsia="Times New Roman"/>
                <w:szCs w:val="24"/>
                <w:lang w:eastAsia="el-GR"/>
              </w:rPr>
              <w:t xml:space="preserve"> </w:t>
            </w:r>
            <w:r>
              <w:rPr>
                <w:rFonts w:eastAsia="Times New Roman"/>
                <w:szCs w:val="24"/>
                <w:lang w:eastAsia="el-GR"/>
              </w:rPr>
              <w:t>με</w:t>
            </w:r>
            <w:r w:rsidRPr="00801CBF">
              <w:rPr>
                <w:rFonts w:eastAsia="Times New Roman"/>
                <w:szCs w:val="24"/>
                <w:lang w:eastAsia="el-GR"/>
              </w:rPr>
              <w:t xml:space="preserve"> </w:t>
            </w:r>
            <w:r>
              <w:rPr>
                <w:rFonts w:eastAsia="Times New Roman"/>
                <w:szCs w:val="24"/>
                <w:lang w:eastAsia="el-GR"/>
              </w:rPr>
              <w:t>θολά</w:t>
            </w:r>
            <w:r w:rsidRPr="00801CBF">
              <w:rPr>
                <w:rFonts w:eastAsia="Times New Roman"/>
                <w:szCs w:val="24"/>
                <w:lang w:eastAsia="el-GR"/>
              </w:rPr>
              <w:t xml:space="preserve"> </w:t>
            </w:r>
            <w:r>
              <w:rPr>
                <w:rFonts w:eastAsia="Times New Roman"/>
                <w:szCs w:val="24"/>
                <w:lang w:eastAsia="el-GR"/>
              </w:rPr>
              <w:t>όρια</w:t>
            </w:r>
            <w:r w:rsidR="00141933" w:rsidRPr="00801CBF">
              <w:rPr>
                <w:rFonts w:eastAsia="Times New Roman"/>
                <w:szCs w:val="24"/>
                <w:lang w:eastAsia="el-GR"/>
              </w:rPr>
              <w:t xml:space="preserve"> </w:t>
            </w:r>
            <w:r>
              <w:rPr>
                <w:rStyle w:val="tlid-translation"/>
              </w:rPr>
              <w:t>σε παρακείμενες περιοχές</w:t>
            </w:r>
          </w:p>
        </w:tc>
        <w:tc>
          <w:tcPr>
            <w:tcW w:w="0" w:type="auto"/>
            <w:vAlign w:val="center"/>
            <w:hideMark/>
          </w:tcPr>
          <w:p w:rsidR="00141933" w:rsidRPr="00333479" w:rsidRDefault="00AE4319" w:rsidP="00141933">
            <w:pPr>
              <w:spacing w:after="0" w:line="240" w:lineRule="auto"/>
              <w:ind w:firstLine="0"/>
              <w:jc w:val="left"/>
              <w:rPr>
                <w:rFonts w:eastAsia="Times New Roman"/>
                <w:szCs w:val="24"/>
                <w:lang w:eastAsia="el-GR"/>
              </w:rPr>
            </w:pPr>
            <w:r>
              <w:rPr>
                <w:rFonts w:eastAsia="Times New Roman"/>
                <w:szCs w:val="24"/>
                <w:lang w:eastAsia="el-GR"/>
              </w:rPr>
              <w:t>Ασυνήθης</w:t>
            </w:r>
            <w:r w:rsidR="00141933" w:rsidRPr="00333479">
              <w:rPr>
                <w:rFonts w:eastAsia="Times New Roman"/>
                <w:szCs w:val="24"/>
                <w:lang w:eastAsia="el-GR"/>
              </w:rPr>
              <w:t xml:space="preserve"> (8%)</w:t>
            </w:r>
          </w:p>
        </w:tc>
        <w:tc>
          <w:tcPr>
            <w:tcW w:w="0" w:type="auto"/>
            <w:vAlign w:val="center"/>
            <w:hideMark/>
          </w:tcPr>
          <w:p w:rsidR="00141933" w:rsidRPr="00333479" w:rsidRDefault="00AE4319" w:rsidP="00141933">
            <w:pPr>
              <w:spacing w:after="0" w:line="240" w:lineRule="auto"/>
              <w:ind w:firstLine="0"/>
              <w:jc w:val="left"/>
              <w:rPr>
                <w:rFonts w:eastAsia="Times New Roman"/>
                <w:szCs w:val="24"/>
                <w:lang w:eastAsia="el-GR"/>
              </w:rPr>
            </w:pPr>
            <w:r>
              <w:rPr>
                <w:rFonts w:eastAsia="Times New Roman"/>
                <w:szCs w:val="24"/>
                <w:lang w:eastAsia="el-GR"/>
              </w:rPr>
              <w:t>Συχνά</w:t>
            </w:r>
            <w:r w:rsidR="00141933" w:rsidRPr="00333479">
              <w:rPr>
                <w:rFonts w:eastAsia="Times New Roman"/>
                <w:szCs w:val="24"/>
                <w:lang w:eastAsia="el-GR"/>
              </w:rPr>
              <w:t xml:space="preserve"> (90%)</w:t>
            </w:r>
          </w:p>
        </w:tc>
        <w:tc>
          <w:tcPr>
            <w:tcW w:w="0" w:type="auto"/>
            <w:vAlign w:val="center"/>
            <w:hideMark/>
          </w:tcPr>
          <w:p w:rsidR="00141933" w:rsidRPr="00333479" w:rsidRDefault="00141933" w:rsidP="00BF2EC1">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Ito</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BF2EC1">
              <w:rPr>
                <w:rFonts w:eastAsia="Times New Roman"/>
                <w:szCs w:val="24"/>
                <w:lang w:val="en-US" w:eastAsia="el-GR"/>
              </w:rPr>
              <w:t>, 2009</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801CBF" w:rsidP="00801CBF">
            <w:pPr>
              <w:spacing w:after="0" w:line="240" w:lineRule="auto"/>
              <w:ind w:firstLine="0"/>
              <w:jc w:val="left"/>
              <w:rPr>
                <w:rFonts w:eastAsia="Times New Roman"/>
                <w:szCs w:val="24"/>
                <w:lang w:eastAsia="el-GR"/>
              </w:rPr>
            </w:pPr>
            <w:r>
              <w:rPr>
                <w:rStyle w:val="alt-edited"/>
              </w:rPr>
              <w:t>Μοτίβο αλλοιώσεων του μεσολόβιου</w:t>
            </w:r>
          </w:p>
        </w:tc>
        <w:tc>
          <w:tcPr>
            <w:tcW w:w="0" w:type="auto"/>
            <w:vAlign w:val="center"/>
            <w:hideMark/>
          </w:tcPr>
          <w:p w:rsidR="00141933" w:rsidRPr="00801CBF" w:rsidRDefault="00801CBF" w:rsidP="00141933">
            <w:pPr>
              <w:spacing w:after="0" w:line="240" w:lineRule="auto"/>
              <w:ind w:firstLine="0"/>
              <w:jc w:val="left"/>
              <w:rPr>
                <w:rFonts w:eastAsia="Times New Roman"/>
                <w:szCs w:val="24"/>
                <w:lang w:eastAsia="el-GR"/>
              </w:rPr>
            </w:pPr>
            <w:r>
              <w:rPr>
                <w:rStyle w:val="tlid-translation"/>
              </w:rPr>
              <w:t>Μικρό, απομονωμένο και μη οιδηματώδες</w:t>
            </w:r>
          </w:p>
        </w:tc>
        <w:tc>
          <w:tcPr>
            <w:tcW w:w="0" w:type="auto"/>
            <w:vAlign w:val="center"/>
            <w:hideMark/>
          </w:tcPr>
          <w:p w:rsidR="00141933" w:rsidRPr="00801CBF" w:rsidRDefault="00801CBF" w:rsidP="00141933">
            <w:pPr>
              <w:spacing w:after="0" w:line="240" w:lineRule="auto"/>
              <w:ind w:firstLine="0"/>
              <w:jc w:val="left"/>
              <w:rPr>
                <w:rFonts w:eastAsia="Times New Roman"/>
                <w:szCs w:val="24"/>
                <w:lang w:eastAsia="el-GR"/>
              </w:rPr>
            </w:pPr>
            <w:r>
              <w:rPr>
                <w:rStyle w:val="tlid-translation"/>
              </w:rPr>
              <w:t>Μπορεί να είναι μεγάλο και οιδηματώδες</w:t>
            </w:r>
          </w:p>
        </w:tc>
        <w:tc>
          <w:tcPr>
            <w:tcW w:w="0" w:type="auto"/>
            <w:vAlign w:val="center"/>
            <w:hideMark/>
          </w:tcPr>
          <w:p w:rsidR="00141933" w:rsidRPr="00BF2EC1" w:rsidRDefault="00BF2EC1" w:rsidP="00BF2EC1">
            <w:pPr>
              <w:spacing w:after="0" w:line="240" w:lineRule="auto"/>
              <w:ind w:firstLine="0"/>
              <w:jc w:val="left"/>
              <w:rPr>
                <w:rFonts w:eastAsia="Times New Roman"/>
                <w:szCs w:val="24"/>
                <w:lang w:val="en-US" w:eastAsia="el-GR"/>
              </w:rPr>
            </w:pPr>
            <w:proofErr w:type="spellStart"/>
            <w:r>
              <w:rPr>
                <w:rFonts w:eastAsia="Times New Roman"/>
                <w:szCs w:val="24"/>
                <w:lang w:eastAsia="el-GR"/>
              </w:rPr>
              <w:t>Nakamura</w:t>
            </w:r>
            <w:proofErr w:type="spellEnd"/>
            <w:r>
              <w:rPr>
                <w:rFonts w:eastAsia="Times New Roman"/>
                <w:szCs w:val="24"/>
                <w:lang w:eastAsia="el-GR"/>
              </w:rPr>
              <w:t xml:space="preserve"> </w:t>
            </w:r>
            <w:proofErr w:type="spellStart"/>
            <w:r>
              <w:rPr>
                <w:rFonts w:eastAsia="Times New Roman"/>
                <w:szCs w:val="24"/>
                <w:lang w:eastAsia="el-GR"/>
              </w:rPr>
              <w:t>et</w:t>
            </w:r>
            <w:proofErr w:type="spellEnd"/>
            <w:r>
              <w:rPr>
                <w:rFonts w:eastAsia="Times New Roman"/>
                <w:szCs w:val="24"/>
                <w:lang w:eastAsia="el-GR"/>
              </w:rPr>
              <w:t xml:space="preserve"> </w:t>
            </w:r>
            <w:proofErr w:type="spellStart"/>
            <w:r>
              <w:rPr>
                <w:rFonts w:eastAsia="Times New Roman"/>
                <w:szCs w:val="24"/>
                <w:lang w:eastAsia="el-GR"/>
              </w:rPr>
              <w:t>al</w:t>
            </w:r>
            <w:proofErr w:type="spellEnd"/>
            <w:r>
              <w:rPr>
                <w:rFonts w:eastAsia="Times New Roman"/>
                <w:szCs w:val="24"/>
                <w:lang w:val="en-US" w:eastAsia="el-GR"/>
              </w:rPr>
              <w:t>., 2009</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801CBF" w:rsidRDefault="00801CBF" w:rsidP="00141933">
            <w:pPr>
              <w:spacing w:after="0" w:line="240" w:lineRule="auto"/>
              <w:ind w:firstLine="0"/>
              <w:jc w:val="left"/>
              <w:rPr>
                <w:rFonts w:eastAsia="Times New Roman"/>
                <w:szCs w:val="24"/>
                <w:lang w:eastAsia="el-GR"/>
              </w:rPr>
            </w:pPr>
            <w:r>
              <w:rPr>
                <w:rStyle w:val="tlid-translation"/>
              </w:rPr>
              <w:t xml:space="preserve">Βλάβες κάθετες προς μια πλευρική κοιλία (δάχτυλα </w:t>
            </w:r>
            <w:proofErr w:type="spellStart"/>
            <w:r>
              <w:rPr>
                <w:rStyle w:val="tlid-translation"/>
              </w:rPr>
              <w:t>Dawson</w:t>
            </w:r>
            <w:proofErr w:type="spellEnd"/>
            <w:r>
              <w:rPr>
                <w:rStyle w:val="tlid-translation"/>
              </w:rPr>
              <w:t>)</w:t>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Fonts w:eastAsia="Times New Roman"/>
                <w:szCs w:val="24"/>
                <w:lang w:eastAsia="el-GR"/>
              </w:rPr>
              <w:t>Συχνά</w:t>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Fonts w:eastAsia="Times New Roman"/>
                <w:szCs w:val="24"/>
                <w:lang w:eastAsia="el-GR"/>
              </w:rPr>
              <w:t>Σπανίως</w:t>
            </w:r>
          </w:p>
        </w:tc>
        <w:tc>
          <w:tcPr>
            <w:tcW w:w="0" w:type="auto"/>
            <w:vAlign w:val="center"/>
            <w:hideMark/>
          </w:tcPr>
          <w:p w:rsidR="00141933" w:rsidRPr="00333479" w:rsidRDefault="00141933" w:rsidP="00242674">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Matthews</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242674">
              <w:rPr>
                <w:rFonts w:eastAsia="Times New Roman"/>
                <w:szCs w:val="24"/>
                <w:lang w:val="en-US" w:eastAsia="el-GR"/>
              </w:rPr>
              <w:t>, 2013</w:t>
            </w:r>
            <w:r w:rsidR="00242674" w:rsidRPr="00333479">
              <w:rPr>
                <w:rFonts w:eastAsia="Times New Roman"/>
                <w:szCs w:val="24"/>
                <w:lang w:eastAsia="el-GR"/>
              </w:rPr>
              <w:t xml:space="preserve"> </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801CBF" w:rsidRDefault="00801CBF" w:rsidP="00141933">
            <w:pPr>
              <w:spacing w:after="0" w:line="240" w:lineRule="auto"/>
              <w:ind w:firstLine="0"/>
              <w:jc w:val="left"/>
              <w:rPr>
                <w:rFonts w:eastAsia="Times New Roman"/>
                <w:szCs w:val="24"/>
                <w:lang w:eastAsia="el-GR"/>
              </w:rPr>
            </w:pPr>
            <w:r>
              <w:rPr>
                <w:rStyle w:val="tlid-translation"/>
              </w:rPr>
              <w:t>Βλάβες που γειτνιάζουν με την πλευρική κοιλία και τον κατώτερο κροταφικό λοβό</w:t>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Fonts w:eastAsia="Times New Roman"/>
                <w:szCs w:val="24"/>
                <w:lang w:eastAsia="el-GR"/>
              </w:rPr>
              <w:t>Συχνά</w:t>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Fonts w:eastAsia="Times New Roman"/>
                <w:szCs w:val="24"/>
                <w:lang w:eastAsia="el-GR"/>
              </w:rPr>
              <w:t>Σπανίως</w:t>
            </w:r>
          </w:p>
        </w:tc>
        <w:tc>
          <w:tcPr>
            <w:tcW w:w="0" w:type="auto"/>
            <w:vAlign w:val="center"/>
            <w:hideMark/>
          </w:tcPr>
          <w:p w:rsidR="00141933" w:rsidRPr="00242674" w:rsidRDefault="00141933" w:rsidP="00242674">
            <w:pPr>
              <w:spacing w:after="0" w:line="240" w:lineRule="auto"/>
              <w:ind w:firstLine="0"/>
              <w:jc w:val="left"/>
              <w:rPr>
                <w:rFonts w:eastAsia="Times New Roman"/>
                <w:szCs w:val="24"/>
                <w:lang w:val="en-US" w:eastAsia="el-GR"/>
              </w:rPr>
            </w:pPr>
            <w:proofErr w:type="spellStart"/>
            <w:r w:rsidRPr="00333479">
              <w:rPr>
                <w:rFonts w:eastAsia="Times New Roman"/>
                <w:szCs w:val="24"/>
                <w:lang w:eastAsia="el-GR"/>
              </w:rPr>
              <w:t>Matthews</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242674">
              <w:rPr>
                <w:rFonts w:eastAsia="Times New Roman"/>
                <w:szCs w:val="24"/>
                <w:lang w:val="en-US" w:eastAsia="el-GR"/>
              </w:rPr>
              <w:t>, 2013</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801CBF" w:rsidRDefault="00801CBF" w:rsidP="00141933">
            <w:pPr>
              <w:spacing w:after="0" w:line="240" w:lineRule="auto"/>
              <w:ind w:firstLine="0"/>
              <w:jc w:val="left"/>
              <w:rPr>
                <w:rFonts w:eastAsia="Times New Roman"/>
                <w:szCs w:val="24"/>
                <w:lang w:eastAsia="el-GR"/>
              </w:rPr>
            </w:pPr>
            <w:r>
              <w:rPr>
                <w:rStyle w:val="tlid-translation"/>
              </w:rPr>
              <w:t>Μεγάλες και συρρέουσες βλάβες λευκής ύλης, μερικές φορές μοιάζουν με μοτίβο PRES</w:t>
            </w:r>
            <w:r w:rsidR="003222F3">
              <w:rPr>
                <w:rStyle w:val="ab"/>
              </w:rPr>
              <w:footnoteReference w:id="3"/>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Fonts w:eastAsia="Times New Roman"/>
                <w:szCs w:val="24"/>
                <w:lang w:eastAsia="el-GR"/>
              </w:rPr>
              <w:t>Πολύ σπάνια</w:t>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Fonts w:eastAsia="Times New Roman"/>
                <w:szCs w:val="24"/>
                <w:lang w:eastAsia="el-GR"/>
              </w:rPr>
              <w:t>Κάποιες φορές</w:t>
            </w:r>
          </w:p>
        </w:tc>
        <w:tc>
          <w:tcPr>
            <w:tcW w:w="0" w:type="auto"/>
            <w:vAlign w:val="center"/>
            <w:hideMark/>
          </w:tcPr>
          <w:p w:rsidR="00141933" w:rsidRPr="00333479" w:rsidRDefault="00141933" w:rsidP="00242674">
            <w:pPr>
              <w:spacing w:after="0" w:line="240" w:lineRule="auto"/>
              <w:ind w:firstLine="0"/>
              <w:jc w:val="left"/>
              <w:rPr>
                <w:rFonts w:eastAsia="Times New Roman"/>
                <w:szCs w:val="24"/>
                <w:lang w:eastAsia="el-GR"/>
              </w:rPr>
            </w:pPr>
            <w:r w:rsidRPr="00333479">
              <w:rPr>
                <w:rFonts w:eastAsia="Times New Roman"/>
                <w:szCs w:val="24"/>
                <w:lang w:val="en-US" w:eastAsia="el-GR"/>
              </w:rPr>
              <w:t>Kim et al.,</w:t>
            </w:r>
            <w:r w:rsidR="00242674">
              <w:rPr>
                <w:rFonts w:eastAsia="Times New Roman"/>
                <w:szCs w:val="24"/>
                <w:lang w:val="en-US" w:eastAsia="el-GR"/>
              </w:rPr>
              <w:t xml:space="preserve"> 2012</w:t>
            </w:r>
            <w:r w:rsidR="00242674" w:rsidRPr="00333479">
              <w:rPr>
                <w:rFonts w:eastAsia="Times New Roman"/>
                <w:szCs w:val="24"/>
                <w:lang w:eastAsia="el-GR"/>
              </w:rPr>
              <w:t xml:space="preserve"> </w:t>
            </w:r>
          </w:p>
        </w:tc>
      </w:tr>
      <w:tr w:rsidR="00115D6D" w:rsidRPr="00DB5D22" w:rsidTr="00141933">
        <w:trPr>
          <w:tblCellSpacing w:w="15" w:type="dxa"/>
        </w:trPr>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Style w:val="tlid-translation"/>
              </w:rPr>
              <w:t>Οπτικό νεύρο</w:t>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Style w:val="tlid-translation"/>
              </w:rPr>
              <w:t xml:space="preserve">Οπτική </w:t>
            </w:r>
            <w:proofErr w:type="spellStart"/>
            <w:r>
              <w:rPr>
                <w:rStyle w:val="tlid-translation"/>
              </w:rPr>
              <w:t>χιασμική</w:t>
            </w:r>
            <w:proofErr w:type="spellEnd"/>
            <w:r>
              <w:rPr>
                <w:rStyle w:val="tlid-translation"/>
              </w:rPr>
              <w:t xml:space="preserve"> εμπλοκή</w:t>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Fonts w:eastAsia="Times New Roman"/>
                <w:szCs w:val="24"/>
                <w:lang w:eastAsia="el-GR"/>
              </w:rPr>
              <w:t>Σπανίως</w:t>
            </w:r>
          </w:p>
        </w:tc>
        <w:tc>
          <w:tcPr>
            <w:tcW w:w="0" w:type="auto"/>
            <w:vAlign w:val="center"/>
            <w:hideMark/>
          </w:tcPr>
          <w:p w:rsidR="00141933" w:rsidRPr="00801CBF" w:rsidRDefault="00801CBF" w:rsidP="00141933">
            <w:pPr>
              <w:spacing w:after="0" w:line="240" w:lineRule="auto"/>
              <w:ind w:firstLine="0"/>
              <w:jc w:val="left"/>
              <w:rPr>
                <w:rFonts w:eastAsia="Times New Roman"/>
                <w:szCs w:val="24"/>
                <w:lang w:val="en-US" w:eastAsia="el-GR"/>
              </w:rPr>
            </w:pPr>
            <w:r>
              <w:rPr>
                <w:rStyle w:val="tlid-translation"/>
              </w:rPr>
              <w:t>Σχετικά</w:t>
            </w:r>
            <w:r w:rsidRPr="00801CBF">
              <w:rPr>
                <w:rStyle w:val="tlid-translation"/>
                <w:lang w:val="en-US"/>
              </w:rPr>
              <w:t xml:space="preserve"> </w:t>
            </w:r>
            <w:r>
              <w:rPr>
                <w:rStyle w:val="tlid-translation"/>
              </w:rPr>
              <w:t>κοινό</w:t>
            </w:r>
            <w:r w:rsidRPr="00801CBF">
              <w:rPr>
                <w:rFonts w:eastAsia="Times New Roman"/>
                <w:szCs w:val="24"/>
                <w:lang w:val="en-US" w:eastAsia="el-GR"/>
              </w:rPr>
              <w:t xml:space="preserve"> </w:t>
            </w:r>
            <w:r w:rsidRPr="00801CBF">
              <w:rPr>
                <w:rFonts w:eastAsia="Times New Roman"/>
                <w:szCs w:val="24"/>
                <w:lang w:val="en-US" w:eastAsia="el-GR"/>
              </w:rPr>
              <w:br/>
            </w:r>
            <w:r w:rsidR="00141933" w:rsidRPr="00801CBF">
              <w:rPr>
                <w:rFonts w:eastAsia="Times New Roman"/>
                <w:szCs w:val="24"/>
                <w:lang w:val="en-US" w:eastAsia="el-GR"/>
              </w:rPr>
              <w:t>(25–75%)</w:t>
            </w:r>
          </w:p>
        </w:tc>
        <w:tc>
          <w:tcPr>
            <w:tcW w:w="0" w:type="auto"/>
            <w:vAlign w:val="center"/>
            <w:hideMark/>
          </w:tcPr>
          <w:p w:rsidR="00141933" w:rsidRPr="00DB5D22" w:rsidRDefault="00141933" w:rsidP="00DB5D22">
            <w:pPr>
              <w:spacing w:after="0" w:line="240" w:lineRule="auto"/>
              <w:ind w:firstLine="0"/>
              <w:jc w:val="left"/>
              <w:rPr>
                <w:rFonts w:eastAsia="Times New Roman"/>
                <w:szCs w:val="24"/>
                <w:lang w:val="en-US" w:eastAsia="el-GR"/>
              </w:rPr>
            </w:pPr>
            <w:r w:rsidRPr="00333479">
              <w:rPr>
                <w:rFonts w:eastAsia="Times New Roman"/>
                <w:szCs w:val="24"/>
                <w:lang w:val="en-US" w:eastAsia="el-GR"/>
              </w:rPr>
              <w:t>Lim et al.,</w:t>
            </w:r>
            <w:r w:rsidR="00DB5D22">
              <w:rPr>
                <w:rFonts w:eastAsia="Times New Roman"/>
                <w:szCs w:val="24"/>
                <w:lang w:val="en-US" w:eastAsia="el-GR"/>
              </w:rPr>
              <w:t xml:space="preserve"> 2014</w:t>
            </w:r>
            <w:r w:rsidR="00DB5D22" w:rsidRPr="00DB5D22">
              <w:rPr>
                <w:rFonts w:eastAsia="Times New Roman"/>
                <w:szCs w:val="24"/>
                <w:lang w:val="en-US" w:eastAsia="el-GR"/>
              </w:rPr>
              <w:t xml:space="preserve"> </w:t>
            </w:r>
          </w:p>
        </w:tc>
      </w:tr>
      <w:tr w:rsidR="00141933" w:rsidRPr="00333479" w:rsidTr="00141933">
        <w:trPr>
          <w:tblCellSpacing w:w="15" w:type="dxa"/>
        </w:trPr>
        <w:tc>
          <w:tcPr>
            <w:tcW w:w="0" w:type="auto"/>
            <w:gridSpan w:val="5"/>
            <w:vAlign w:val="center"/>
            <w:hideMark/>
          </w:tcPr>
          <w:p w:rsidR="00141933" w:rsidRPr="00801CBF" w:rsidRDefault="00801CBF" w:rsidP="00141933">
            <w:pPr>
              <w:spacing w:after="0" w:line="240" w:lineRule="auto"/>
              <w:ind w:firstLine="0"/>
              <w:jc w:val="left"/>
              <w:rPr>
                <w:rFonts w:eastAsia="Times New Roman"/>
                <w:b/>
                <w:szCs w:val="24"/>
                <w:lang w:eastAsia="el-GR"/>
              </w:rPr>
            </w:pPr>
            <w:r w:rsidRPr="00801CBF">
              <w:rPr>
                <w:rStyle w:val="tlid-translation"/>
                <w:b/>
              </w:rPr>
              <w:t>Πρότυπο ατροφίας του ΚΝΣ</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801CBF" w:rsidRDefault="00801CBF" w:rsidP="00141933">
            <w:pPr>
              <w:spacing w:after="0" w:line="240" w:lineRule="auto"/>
              <w:ind w:firstLine="0"/>
              <w:jc w:val="left"/>
              <w:rPr>
                <w:rFonts w:eastAsia="Times New Roman"/>
                <w:szCs w:val="24"/>
                <w:lang w:eastAsia="el-GR"/>
              </w:rPr>
            </w:pPr>
            <w:r>
              <w:rPr>
                <w:rStyle w:val="tlid-translation"/>
              </w:rPr>
              <w:t>Πιο σοβαρή ατροφία του εγκεφάλου</w:t>
            </w:r>
          </w:p>
        </w:tc>
        <w:tc>
          <w:tcPr>
            <w:tcW w:w="0" w:type="auto"/>
            <w:vAlign w:val="center"/>
            <w:hideMark/>
          </w:tcPr>
          <w:p w:rsidR="00141933" w:rsidRPr="00801CBF" w:rsidRDefault="00801CBF" w:rsidP="00141933">
            <w:pPr>
              <w:spacing w:after="0" w:line="240" w:lineRule="auto"/>
              <w:ind w:firstLine="0"/>
              <w:jc w:val="left"/>
              <w:rPr>
                <w:rFonts w:eastAsia="Times New Roman"/>
                <w:szCs w:val="24"/>
                <w:lang w:eastAsia="el-GR"/>
              </w:rPr>
            </w:pPr>
            <w:r>
              <w:rPr>
                <w:rStyle w:val="tlid-translation"/>
              </w:rPr>
              <w:t>Πιο σοβαρή ατροφία του νωτιαίου μυελού</w:t>
            </w:r>
          </w:p>
        </w:tc>
        <w:tc>
          <w:tcPr>
            <w:tcW w:w="0" w:type="auto"/>
            <w:vAlign w:val="center"/>
            <w:hideMark/>
          </w:tcPr>
          <w:p w:rsidR="00141933" w:rsidRPr="00333479" w:rsidRDefault="00141933" w:rsidP="00443504">
            <w:pPr>
              <w:spacing w:after="0" w:line="240" w:lineRule="auto"/>
              <w:ind w:firstLine="0"/>
              <w:jc w:val="left"/>
              <w:rPr>
                <w:rFonts w:eastAsia="Times New Roman"/>
                <w:szCs w:val="24"/>
                <w:lang w:eastAsia="el-GR"/>
              </w:rPr>
            </w:pPr>
            <w:proofErr w:type="spellStart"/>
            <w:r w:rsidRPr="00333479">
              <w:rPr>
                <w:rFonts w:eastAsia="Times New Roman"/>
                <w:szCs w:val="24"/>
                <w:lang w:eastAsia="el-GR"/>
              </w:rPr>
              <w:t>Liu</w:t>
            </w:r>
            <w:proofErr w:type="spellEnd"/>
            <w:r w:rsidRPr="00333479">
              <w:rPr>
                <w:rFonts w:eastAsia="Times New Roman"/>
                <w:szCs w:val="24"/>
                <w:lang w:eastAsia="el-GR"/>
              </w:rPr>
              <w:t xml:space="preserve"> </w:t>
            </w:r>
            <w:proofErr w:type="spellStart"/>
            <w:r w:rsidRPr="00333479">
              <w:rPr>
                <w:rFonts w:eastAsia="Times New Roman"/>
                <w:szCs w:val="24"/>
                <w:lang w:eastAsia="el-GR"/>
              </w:rPr>
              <w:t>et</w:t>
            </w:r>
            <w:proofErr w:type="spellEnd"/>
            <w:r w:rsidRPr="00333479">
              <w:rPr>
                <w:rFonts w:eastAsia="Times New Roman"/>
                <w:szCs w:val="24"/>
                <w:lang w:eastAsia="el-GR"/>
              </w:rPr>
              <w:t xml:space="preserve"> </w:t>
            </w:r>
            <w:proofErr w:type="spellStart"/>
            <w:r w:rsidRPr="00333479">
              <w:rPr>
                <w:rFonts w:eastAsia="Times New Roman"/>
                <w:szCs w:val="24"/>
                <w:lang w:eastAsia="el-GR"/>
              </w:rPr>
              <w:t>al</w:t>
            </w:r>
            <w:proofErr w:type="spellEnd"/>
            <w:r w:rsidRPr="00333479">
              <w:rPr>
                <w:rFonts w:eastAsia="Times New Roman"/>
                <w:szCs w:val="24"/>
                <w:lang w:eastAsia="el-GR"/>
              </w:rPr>
              <w:t>.</w:t>
            </w:r>
            <w:r w:rsidR="00443504">
              <w:rPr>
                <w:rFonts w:eastAsia="Times New Roman"/>
                <w:szCs w:val="24"/>
                <w:lang w:val="en-US" w:eastAsia="el-GR"/>
              </w:rPr>
              <w:t>, 2015</w:t>
            </w:r>
            <w:r w:rsidR="00443504" w:rsidRPr="00333479">
              <w:rPr>
                <w:rFonts w:eastAsia="Times New Roman"/>
                <w:szCs w:val="24"/>
                <w:lang w:eastAsia="el-GR"/>
              </w:rPr>
              <w:t xml:space="preserve"> </w:t>
            </w:r>
          </w:p>
        </w:tc>
      </w:tr>
      <w:tr w:rsidR="00141933" w:rsidRPr="00333479" w:rsidTr="00141933">
        <w:trPr>
          <w:tblCellSpacing w:w="15" w:type="dxa"/>
        </w:trPr>
        <w:tc>
          <w:tcPr>
            <w:tcW w:w="0" w:type="auto"/>
            <w:gridSpan w:val="5"/>
            <w:vAlign w:val="center"/>
            <w:hideMark/>
          </w:tcPr>
          <w:p w:rsidR="00141933" w:rsidRPr="00801CBF" w:rsidRDefault="00801CBF" w:rsidP="00141933">
            <w:pPr>
              <w:spacing w:after="0" w:line="240" w:lineRule="auto"/>
              <w:ind w:firstLine="0"/>
              <w:jc w:val="left"/>
              <w:rPr>
                <w:rFonts w:eastAsia="Times New Roman"/>
                <w:b/>
                <w:szCs w:val="24"/>
                <w:lang w:eastAsia="el-GR"/>
              </w:rPr>
            </w:pPr>
            <w:r w:rsidRPr="00801CBF">
              <w:rPr>
                <w:rStyle w:val="tlid-translation"/>
                <w:b/>
              </w:rPr>
              <w:t>Πρόγνωση</w:t>
            </w:r>
          </w:p>
        </w:tc>
      </w:tr>
      <w:tr w:rsidR="00115D6D" w:rsidRPr="00333479"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Style w:val="tlid-translation"/>
              </w:rPr>
              <w:t>Δευτεροβάθμια προοδευτική πορεία</w:t>
            </w:r>
          </w:p>
        </w:tc>
        <w:tc>
          <w:tcPr>
            <w:tcW w:w="0" w:type="auto"/>
            <w:vAlign w:val="center"/>
            <w:hideMark/>
          </w:tcPr>
          <w:p w:rsidR="00141933" w:rsidRPr="00333479" w:rsidRDefault="00801CBF" w:rsidP="00141933">
            <w:pPr>
              <w:spacing w:after="0" w:line="240" w:lineRule="auto"/>
              <w:ind w:firstLine="0"/>
              <w:jc w:val="left"/>
              <w:rPr>
                <w:rFonts w:eastAsia="Times New Roman"/>
                <w:szCs w:val="24"/>
                <w:lang w:eastAsia="el-GR"/>
              </w:rPr>
            </w:pPr>
            <w:r>
              <w:rPr>
                <w:rFonts w:eastAsia="Times New Roman"/>
                <w:szCs w:val="24"/>
                <w:lang w:eastAsia="el-GR"/>
              </w:rPr>
              <w:t>Συχνά</w:t>
            </w:r>
          </w:p>
        </w:tc>
        <w:tc>
          <w:tcPr>
            <w:tcW w:w="0" w:type="auto"/>
            <w:vAlign w:val="center"/>
            <w:hideMark/>
          </w:tcPr>
          <w:p w:rsidR="00141933" w:rsidRPr="00BD298F" w:rsidRDefault="00BD298F" w:rsidP="00BD298F">
            <w:pPr>
              <w:spacing w:after="0" w:line="240" w:lineRule="auto"/>
              <w:ind w:firstLine="0"/>
              <w:jc w:val="left"/>
              <w:rPr>
                <w:rFonts w:eastAsia="Times New Roman"/>
                <w:szCs w:val="24"/>
                <w:lang w:eastAsia="el-GR"/>
              </w:rPr>
            </w:pPr>
            <w:r>
              <w:rPr>
                <w:rStyle w:val="tlid-translation"/>
              </w:rPr>
              <w:t xml:space="preserve">Προτείνεται να είναι ασυνήθιστη (2% από τα δεδομένα που </w:t>
            </w:r>
            <w:proofErr w:type="spellStart"/>
            <w:r>
              <w:rPr>
                <w:rStyle w:val="tlid-translation"/>
              </w:rPr>
              <w:t>βασιζονται</w:t>
            </w:r>
            <w:proofErr w:type="spellEnd"/>
            <w:r>
              <w:rPr>
                <w:rStyle w:val="tlid-translation"/>
              </w:rPr>
              <w:t xml:space="preserve"> στα κριτήρια του NMO</w:t>
            </w:r>
            <w:r w:rsidR="003222F3">
              <w:rPr>
                <w:rStyle w:val="ab"/>
              </w:rPr>
              <w:footnoteReference w:id="4"/>
            </w:r>
            <w:r>
              <w:rPr>
                <w:rStyle w:val="tlid-translation"/>
              </w:rPr>
              <w:t xml:space="preserve"> – 2006)</w:t>
            </w:r>
          </w:p>
        </w:tc>
        <w:tc>
          <w:tcPr>
            <w:tcW w:w="0" w:type="auto"/>
            <w:vAlign w:val="center"/>
            <w:hideMark/>
          </w:tcPr>
          <w:p w:rsidR="00141933" w:rsidRPr="00443504" w:rsidRDefault="00443504" w:rsidP="00443504">
            <w:pPr>
              <w:spacing w:after="0" w:line="240" w:lineRule="auto"/>
              <w:ind w:firstLine="0"/>
              <w:jc w:val="left"/>
              <w:rPr>
                <w:rFonts w:eastAsia="Times New Roman"/>
                <w:szCs w:val="24"/>
                <w:lang w:val="en-US" w:eastAsia="el-GR"/>
              </w:rPr>
            </w:pPr>
            <w:proofErr w:type="spellStart"/>
            <w:r>
              <w:rPr>
                <w:rFonts w:eastAsia="Times New Roman"/>
                <w:szCs w:val="24"/>
                <w:lang w:eastAsia="el-GR"/>
              </w:rPr>
              <w:t>Wingerchuk</w:t>
            </w:r>
            <w:proofErr w:type="spellEnd"/>
            <w:r>
              <w:rPr>
                <w:rFonts w:eastAsia="Times New Roman"/>
                <w:szCs w:val="24"/>
                <w:lang w:eastAsia="el-GR"/>
              </w:rPr>
              <w:t xml:space="preserve"> </w:t>
            </w:r>
            <w:proofErr w:type="spellStart"/>
            <w:r>
              <w:rPr>
                <w:rFonts w:eastAsia="Times New Roman"/>
                <w:szCs w:val="24"/>
                <w:lang w:eastAsia="el-GR"/>
              </w:rPr>
              <w:t>et</w:t>
            </w:r>
            <w:proofErr w:type="spellEnd"/>
            <w:r>
              <w:rPr>
                <w:rFonts w:eastAsia="Times New Roman"/>
                <w:szCs w:val="24"/>
                <w:lang w:eastAsia="el-GR"/>
              </w:rPr>
              <w:t xml:space="preserve"> </w:t>
            </w:r>
            <w:proofErr w:type="spellStart"/>
            <w:r>
              <w:rPr>
                <w:rFonts w:eastAsia="Times New Roman"/>
                <w:szCs w:val="24"/>
                <w:lang w:eastAsia="el-GR"/>
              </w:rPr>
              <w:t>al</w:t>
            </w:r>
            <w:proofErr w:type="spellEnd"/>
            <w:r>
              <w:rPr>
                <w:rFonts w:eastAsia="Times New Roman"/>
                <w:szCs w:val="24"/>
                <w:lang w:val="en-US" w:eastAsia="el-GR"/>
              </w:rPr>
              <w:t>., 2007</w:t>
            </w:r>
          </w:p>
        </w:tc>
      </w:tr>
      <w:tr w:rsidR="00115D6D" w:rsidRPr="00115D6D" w:rsidTr="00141933">
        <w:trPr>
          <w:tblCellSpacing w:w="15" w:type="dxa"/>
        </w:trPr>
        <w:tc>
          <w:tcPr>
            <w:tcW w:w="0" w:type="auto"/>
            <w:vAlign w:val="center"/>
            <w:hideMark/>
          </w:tcPr>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33479" w:rsidRDefault="00BD298F" w:rsidP="00141933">
            <w:pPr>
              <w:spacing w:after="0" w:line="240" w:lineRule="auto"/>
              <w:ind w:firstLine="0"/>
              <w:jc w:val="left"/>
              <w:rPr>
                <w:rFonts w:eastAsia="Times New Roman"/>
                <w:szCs w:val="24"/>
                <w:lang w:eastAsia="el-GR"/>
              </w:rPr>
            </w:pPr>
            <w:r>
              <w:rPr>
                <w:rStyle w:val="tlid-translation"/>
              </w:rPr>
              <w:t>Ποσοστό εξέλιξης αναπηρίας</w:t>
            </w:r>
          </w:p>
        </w:tc>
        <w:tc>
          <w:tcPr>
            <w:tcW w:w="0" w:type="auto"/>
            <w:vAlign w:val="center"/>
            <w:hideMark/>
          </w:tcPr>
          <w:p w:rsidR="00141933" w:rsidRPr="00BD298F" w:rsidRDefault="00BD298F" w:rsidP="00141933">
            <w:pPr>
              <w:spacing w:after="0" w:line="240" w:lineRule="auto"/>
              <w:ind w:firstLine="0"/>
              <w:jc w:val="left"/>
              <w:rPr>
                <w:rFonts w:eastAsia="Times New Roman"/>
                <w:szCs w:val="24"/>
                <w:lang w:eastAsia="el-GR"/>
              </w:rPr>
            </w:pPr>
            <w:r>
              <w:rPr>
                <w:rStyle w:val="tlid-translation"/>
              </w:rPr>
              <w:t>Σχετικά αργή (διάμεση διάρκεια 23,1 ετών από την έναρξη έως το EDSS 6</w:t>
            </w:r>
            <w:r w:rsidR="003222F3">
              <w:rPr>
                <w:rStyle w:val="ab"/>
              </w:rPr>
              <w:footnoteReference w:id="5"/>
            </w:r>
            <w:r>
              <w:rPr>
                <w:rStyle w:val="tlid-translation"/>
              </w:rPr>
              <w:t>)</w:t>
            </w:r>
          </w:p>
        </w:tc>
        <w:tc>
          <w:tcPr>
            <w:tcW w:w="0" w:type="auto"/>
            <w:vAlign w:val="center"/>
            <w:hideMark/>
          </w:tcPr>
          <w:p w:rsidR="00141933" w:rsidRPr="00BD298F" w:rsidRDefault="00BD298F" w:rsidP="00141933">
            <w:pPr>
              <w:spacing w:after="0" w:line="240" w:lineRule="auto"/>
              <w:ind w:firstLine="0"/>
              <w:jc w:val="left"/>
              <w:rPr>
                <w:rFonts w:eastAsia="Times New Roman"/>
                <w:szCs w:val="24"/>
                <w:lang w:eastAsia="el-GR"/>
              </w:rPr>
            </w:pPr>
            <w:r>
              <w:rPr>
                <w:rStyle w:val="tlid-translation"/>
              </w:rPr>
              <w:t>Μπορεί να είναι γρήγορη (διάμεσος 12 ετών έως το EDSS 6)</w:t>
            </w:r>
          </w:p>
        </w:tc>
        <w:tc>
          <w:tcPr>
            <w:tcW w:w="0" w:type="auto"/>
            <w:vAlign w:val="center"/>
            <w:hideMark/>
          </w:tcPr>
          <w:p w:rsidR="00141933" w:rsidRPr="00333479" w:rsidRDefault="00141933" w:rsidP="00AC76C3">
            <w:pPr>
              <w:spacing w:after="0" w:line="240" w:lineRule="auto"/>
              <w:ind w:firstLine="0"/>
              <w:jc w:val="left"/>
              <w:rPr>
                <w:rFonts w:eastAsia="Times New Roman"/>
                <w:szCs w:val="24"/>
                <w:lang w:eastAsia="el-GR"/>
              </w:rPr>
            </w:pPr>
            <w:r w:rsidRPr="00333479">
              <w:rPr>
                <w:rFonts w:eastAsia="Times New Roman"/>
                <w:szCs w:val="24"/>
                <w:lang w:val="en-US" w:eastAsia="el-GR"/>
              </w:rPr>
              <w:t>Cree et al.</w:t>
            </w:r>
            <w:r w:rsidR="00AC76C3">
              <w:rPr>
                <w:rFonts w:eastAsia="Times New Roman"/>
                <w:szCs w:val="24"/>
                <w:lang w:val="en-US" w:eastAsia="el-GR"/>
              </w:rPr>
              <w:t>, 2016</w:t>
            </w:r>
            <w:r w:rsidR="00AC76C3" w:rsidRPr="00333479">
              <w:rPr>
                <w:rFonts w:eastAsia="Times New Roman"/>
                <w:szCs w:val="24"/>
                <w:lang w:eastAsia="el-GR"/>
              </w:rPr>
              <w:t xml:space="preserve"> </w:t>
            </w:r>
          </w:p>
        </w:tc>
      </w:tr>
      <w:tr w:rsidR="00115D6D" w:rsidRPr="00753FD0" w:rsidTr="00141933">
        <w:trPr>
          <w:tblCellSpacing w:w="15" w:type="dxa"/>
        </w:trPr>
        <w:tc>
          <w:tcPr>
            <w:tcW w:w="0" w:type="auto"/>
            <w:vAlign w:val="center"/>
            <w:hideMark/>
          </w:tcPr>
          <w:p w:rsidR="00141933" w:rsidRPr="00115D6D" w:rsidRDefault="00141933" w:rsidP="00141933">
            <w:pPr>
              <w:spacing w:after="0" w:line="240" w:lineRule="auto"/>
              <w:ind w:firstLine="0"/>
              <w:jc w:val="left"/>
              <w:rPr>
                <w:rFonts w:eastAsia="Times New Roman"/>
                <w:szCs w:val="24"/>
                <w:lang w:val="en-US" w:eastAsia="el-GR"/>
              </w:rPr>
            </w:pPr>
          </w:p>
        </w:tc>
        <w:tc>
          <w:tcPr>
            <w:tcW w:w="0" w:type="auto"/>
            <w:vAlign w:val="center"/>
            <w:hideMark/>
          </w:tcPr>
          <w:p w:rsidR="00BD298F" w:rsidRPr="00BD298F" w:rsidRDefault="00BD298F" w:rsidP="00BD298F">
            <w:pPr>
              <w:spacing w:after="0" w:line="240" w:lineRule="auto"/>
              <w:ind w:firstLine="0"/>
              <w:jc w:val="left"/>
              <w:rPr>
                <w:rFonts w:eastAsia="Times New Roman"/>
                <w:szCs w:val="24"/>
                <w:lang w:eastAsia="el-GR"/>
              </w:rPr>
            </w:pPr>
            <w:r w:rsidRPr="00BD298F">
              <w:rPr>
                <w:rFonts w:eastAsia="Times New Roman"/>
                <w:szCs w:val="24"/>
                <w:lang w:eastAsia="el-GR"/>
              </w:rPr>
              <w:t>Θνησιμότητα</w:t>
            </w:r>
          </w:p>
          <w:p w:rsidR="00141933" w:rsidRPr="00333479" w:rsidRDefault="00141933" w:rsidP="00141933">
            <w:pPr>
              <w:spacing w:after="0" w:line="240" w:lineRule="auto"/>
              <w:ind w:firstLine="0"/>
              <w:jc w:val="left"/>
              <w:rPr>
                <w:rFonts w:eastAsia="Times New Roman"/>
                <w:szCs w:val="24"/>
                <w:lang w:eastAsia="el-GR"/>
              </w:rPr>
            </w:pPr>
          </w:p>
        </w:tc>
        <w:tc>
          <w:tcPr>
            <w:tcW w:w="0" w:type="auto"/>
            <w:vAlign w:val="center"/>
            <w:hideMark/>
          </w:tcPr>
          <w:p w:rsidR="00141933" w:rsidRPr="003222F3" w:rsidRDefault="003222F3" w:rsidP="00141933">
            <w:pPr>
              <w:spacing w:after="0" w:line="240" w:lineRule="auto"/>
              <w:ind w:firstLine="0"/>
              <w:jc w:val="left"/>
              <w:rPr>
                <w:rFonts w:eastAsia="Times New Roman"/>
                <w:szCs w:val="24"/>
                <w:lang w:eastAsia="el-GR"/>
              </w:rPr>
            </w:pPr>
            <w:r>
              <w:rPr>
                <w:rStyle w:val="tlid-translation"/>
              </w:rPr>
              <w:t>Χαμηλό (το προσδόκιμο ζωής μειώνεται κατά 7-14 χρόνια σε σύγκριση με τον γενικό, υγιή πληθυσμό)</w:t>
            </w:r>
          </w:p>
        </w:tc>
        <w:tc>
          <w:tcPr>
            <w:tcW w:w="0" w:type="auto"/>
            <w:vAlign w:val="center"/>
            <w:hideMark/>
          </w:tcPr>
          <w:p w:rsidR="00141933" w:rsidRPr="003222F3" w:rsidRDefault="003222F3" w:rsidP="00141933">
            <w:pPr>
              <w:spacing w:after="0" w:line="240" w:lineRule="auto"/>
              <w:ind w:firstLine="0"/>
              <w:jc w:val="left"/>
              <w:rPr>
                <w:rFonts w:eastAsia="Times New Roman"/>
                <w:szCs w:val="24"/>
                <w:lang w:eastAsia="el-GR"/>
              </w:rPr>
            </w:pPr>
            <w:r>
              <w:rPr>
                <w:rStyle w:val="tlid-translation"/>
              </w:rPr>
              <w:t xml:space="preserve">Μπορεί να είναι υψηλή (η πενταετής επιβίωση μπορεί να είναι τόσο χαμηλή όσο το 68%, όπως προσδιορίστηκε σε </w:t>
            </w:r>
            <w:r>
              <w:rPr>
                <w:rStyle w:val="tlid-translation"/>
              </w:rPr>
              <w:lastRenderedPageBreak/>
              <w:t>προηγούμενη μελέτη)</w:t>
            </w:r>
          </w:p>
        </w:tc>
        <w:tc>
          <w:tcPr>
            <w:tcW w:w="0" w:type="auto"/>
            <w:vAlign w:val="center"/>
            <w:hideMark/>
          </w:tcPr>
          <w:p w:rsidR="00141933" w:rsidRPr="00753FD0" w:rsidRDefault="00141933" w:rsidP="00753FD0">
            <w:pPr>
              <w:spacing w:after="0" w:line="240" w:lineRule="auto"/>
              <w:ind w:firstLine="0"/>
              <w:jc w:val="left"/>
              <w:rPr>
                <w:rFonts w:eastAsia="Times New Roman"/>
                <w:szCs w:val="24"/>
                <w:lang w:val="en-US" w:eastAsia="el-GR"/>
              </w:rPr>
            </w:pPr>
            <w:r w:rsidRPr="00333479">
              <w:rPr>
                <w:rFonts w:eastAsia="Times New Roman"/>
                <w:szCs w:val="24"/>
                <w:lang w:val="en-US" w:eastAsia="el-GR"/>
              </w:rPr>
              <w:lastRenderedPageBreak/>
              <w:t>Scalfari et al.</w:t>
            </w:r>
            <w:r w:rsidR="00753FD0">
              <w:rPr>
                <w:rFonts w:eastAsia="Times New Roman"/>
                <w:szCs w:val="24"/>
                <w:lang w:val="en-US" w:eastAsia="el-GR"/>
              </w:rPr>
              <w:t>, 2013</w:t>
            </w:r>
          </w:p>
        </w:tc>
      </w:tr>
    </w:tbl>
    <w:p w:rsidR="005E2D14" w:rsidRDefault="005E2D14" w:rsidP="00A50CA8">
      <w:pPr>
        <w:ind w:firstLine="0"/>
        <w:rPr>
          <w:rFonts w:eastAsia="Times New Roman"/>
          <w:szCs w:val="24"/>
          <w:lang w:val="en-US" w:eastAsia="el-GR"/>
        </w:rPr>
      </w:pPr>
    </w:p>
    <w:p w:rsidR="007B2CBE" w:rsidRDefault="006F52EC" w:rsidP="006F52EC">
      <w:pPr>
        <w:pStyle w:val="3"/>
        <w:rPr>
          <w:lang w:eastAsia="el-GR"/>
        </w:rPr>
      </w:pPr>
      <w:bookmarkStart w:id="52" w:name="_Toc57241653"/>
      <w:r w:rsidRPr="006F52EC">
        <w:rPr>
          <w:lang w:eastAsia="el-GR"/>
        </w:rPr>
        <w:t>4.1.</w:t>
      </w:r>
      <w:r w:rsidR="003B0B02" w:rsidRPr="00231771">
        <w:rPr>
          <w:lang w:eastAsia="el-GR"/>
        </w:rPr>
        <w:t>1</w:t>
      </w:r>
      <w:r w:rsidRPr="006F52EC">
        <w:rPr>
          <w:lang w:eastAsia="el-GR"/>
        </w:rPr>
        <w:t xml:space="preserve"> </w:t>
      </w:r>
      <w:r>
        <w:rPr>
          <w:lang w:eastAsia="el-GR"/>
        </w:rPr>
        <w:t xml:space="preserve">Διαφορές </w:t>
      </w:r>
      <w:r w:rsidR="00231771">
        <w:rPr>
          <w:lang w:eastAsia="el-GR"/>
        </w:rPr>
        <w:t xml:space="preserve">και ομοιότητες </w:t>
      </w:r>
      <w:r>
        <w:rPr>
          <w:lang w:eastAsia="el-GR"/>
        </w:rPr>
        <w:t>σε παθολογικά χαρακτηριστικά</w:t>
      </w:r>
      <w:bookmarkEnd w:id="52"/>
    </w:p>
    <w:p w:rsidR="006F52EC" w:rsidRDefault="006F52EC" w:rsidP="006F52EC">
      <w:pPr>
        <w:rPr>
          <w:rStyle w:val="tlid-translation"/>
        </w:rPr>
      </w:pPr>
      <w:r>
        <w:rPr>
          <w:rStyle w:val="tlid-translation"/>
        </w:rPr>
        <w:t>Τα χαρακτηριστικά των MS αλλοιώσεων έχουν καθοριστεί καλά και παρόλο που είναι ετερογενή, μπορούν να ταξινομηθούν σε 4 τύπους (</w:t>
      </w:r>
      <w:proofErr w:type="spellStart"/>
      <w:r w:rsidRPr="007A5074">
        <w:rPr>
          <w:rStyle w:val="tlid-translation"/>
        </w:rPr>
        <w:t>Lucchinetti</w:t>
      </w:r>
      <w:proofErr w:type="spellEnd"/>
      <w:r>
        <w:rPr>
          <w:rStyle w:val="tlid-translation"/>
        </w:rPr>
        <w:t xml:space="preserve"> </w:t>
      </w:r>
      <w:proofErr w:type="spellStart"/>
      <w:r>
        <w:rPr>
          <w:rStyle w:val="tlid-translation"/>
        </w:rPr>
        <w:t>et</w:t>
      </w:r>
      <w:proofErr w:type="spellEnd"/>
      <w:r>
        <w:rPr>
          <w:rStyle w:val="tlid-translation"/>
        </w:rPr>
        <w:t xml:space="preserve"> </w:t>
      </w:r>
      <w:proofErr w:type="spellStart"/>
      <w:r>
        <w:rPr>
          <w:rStyle w:val="tlid-translation"/>
        </w:rPr>
        <w:t>al</w:t>
      </w:r>
      <w:proofErr w:type="spellEnd"/>
      <w:r>
        <w:rPr>
          <w:rStyle w:val="tlid-translation"/>
        </w:rPr>
        <w:t xml:space="preserve">. 2001): Οι αλλοιώσεις του προτύπου I και II χαρακτηρίζονται από ενεργή </w:t>
      </w:r>
      <w:proofErr w:type="spellStart"/>
      <w:r>
        <w:rPr>
          <w:rStyle w:val="tlid-translation"/>
        </w:rPr>
        <w:t>απομυελίνωση</w:t>
      </w:r>
      <w:proofErr w:type="spellEnd"/>
      <w:r>
        <w:rPr>
          <w:rStyle w:val="tlid-translation"/>
        </w:rPr>
        <w:t xml:space="preserve">, που σχετίζεται με φλεγμονή που κυριαρχείται από κύτταρα Τ και </w:t>
      </w:r>
      <w:proofErr w:type="spellStart"/>
      <w:r>
        <w:rPr>
          <w:rStyle w:val="tlid-translation"/>
        </w:rPr>
        <w:t>μακροφάγα</w:t>
      </w:r>
      <w:proofErr w:type="spellEnd"/>
      <w:r>
        <w:rPr>
          <w:rStyle w:val="tlid-translation"/>
        </w:rPr>
        <w:t xml:space="preserve">. Η </w:t>
      </w:r>
      <w:proofErr w:type="spellStart"/>
      <w:r>
        <w:rPr>
          <w:rStyle w:val="tlid-translation"/>
        </w:rPr>
        <w:t>απομυελίνωση</w:t>
      </w:r>
      <w:proofErr w:type="spellEnd"/>
      <w:r>
        <w:rPr>
          <w:rStyle w:val="tlid-translation"/>
        </w:rPr>
        <w:t xml:space="preserve"> είναι ένα βασικό χαρακτηριστικό των αλλοιώσεων της MS. Από την άλλη πλευρά, οι βλάβες της NMOSD εμφανίζονται κλασικά με εναπόθεση συμπληρώματος, διήθηση κοκκιοκυττάρων και νέκρωση </w:t>
      </w:r>
      <w:proofErr w:type="spellStart"/>
      <w:r>
        <w:rPr>
          <w:rStyle w:val="tlid-translation"/>
        </w:rPr>
        <w:t>αστροκυττάρων</w:t>
      </w:r>
      <w:proofErr w:type="spellEnd"/>
      <w:r>
        <w:rPr>
          <w:rStyle w:val="tlid-translation"/>
        </w:rPr>
        <w:t>, που οδηγούν σε παγκόσμια καταστροφή ιστών (</w:t>
      </w:r>
      <w:proofErr w:type="spellStart"/>
      <w:r w:rsidRPr="007A5074">
        <w:rPr>
          <w:rStyle w:val="tlid-translation"/>
        </w:rPr>
        <w:t>Fujihara</w:t>
      </w:r>
      <w:proofErr w:type="spellEnd"/>
      <w:r>
        <w:rPr>
          <w:rStyle w:val="tlid-translation"/>
        </w:rPr>
        <w:t xml:space="preserve">, 2011). Ωστόσο, οι </w:t>
      </w:r>
      <w:proofErr w:type="spellStart"/>
      <w:r w:rsidRPr="007A5074">
        <w:rPr>
          <w:rStyle w:val="tlid-translation"/>
        </w:rPr>
        <w:t>Misu</w:t>
      </w:r>
      <w:proofErr w:type="spellEnd"/>
      <w:r>
        <w:rPr>
          <w:rStyle w:val="tlid-translation"/>
        </w:rPr>
        <w:t xml:space="preserve"> </w:t>
      </w:r>
      <w:proofErr w:type="spellStart"/>
      <w:r>
        <w:rPr>
          <w:rStyle w:val="tlid-translation"/>
        </w:rPr>
        <w:t>et</w:t>
      </w:r>
      <w:proofErr w:type="spellEnd"/>
      <w:r>
        <w:rPr>
          <w:rStyle w:val="tlid-translation"/>
        </w:rPr>
        <w:t xml:space="preserve"> </w:t>
      </w:r>
      <w:proofErr w:type="spellStart"/>
      <w:r>
        <w:rPr>
          <w:rStyle w:val="tlid-translation"/>
        </w:rPr>
        <w:t>al</w:t>
      </w:r>
      <w:proofErr w:type="spellEnd"/>
      <w:r>
        <w:rPr>
          <w:rStyle w:val="tlid-translation"/>
        </w:rPr>
        <w:t xml:space="preserve">. (2013) περιέγραψαν ότι οι βλάβες της NMOSD είναι εξαιρετικά ετερογενείς και μπορούν να κατηγοριοποιηθούν σε 6 διαφορετικούς τύπους σύμφωνα με παθολογικές αναλύσεις. Οι βλάβες τύπου 1, 2 και 3 αντικατοπτρίζουν τις τυπικές βλάβες NMOSD που </w:t>
      </w:r>
      <w:proofErr w:type="spellStart"/>
      <w:r>
        <w:rPr>
          <w:rStyle w:val="tlid-translation"/>
        </w:rPr>
        <w:t>περιγράφηκαν</w:t>
      </w:r>
      <w:proofErr w:type="spellEnd"/>
      <w:r>
        <w:rPr>
          <w:rStyle w:val="tlid-translation"/>
        </w:rPr>
        <w:t xml:space="preserve"> προηγουμένως. Αυτές οι βλάβες ακολουθούνται από </w:t>
      </w:r>
      <w:proofErr w:type="spellStart"/>
      <w:r>
        <w:rPr>
          <w:rStyle w:val="tlid-translation"/>
        </w:rPr>
        <w:t>απομυελίνωση</w:t>
      </w:r>
      <w:proofErr w:type="spellEnd"/>
      <w:r>
        <w:rPr>
          <w:rStyle w:val="tlid-translation"/>
        </w:rPr>
        <w:t xml:space="preserve">, που οδηγεί σε παγκόσμια καταστροφή ιστών, συνοδευόμενη από εκφυλισμό </w:t>
      </w:r>
      <w:proofErr w:type="spellStart"/>
      <w:r>
        <w:rPr>
          <w:rStyle w:val="tlid-translation"/>
        </w:rPr>
        <w:t>Wallerian</w:t>
      </w:r>
      <w:proofErr w:type="spellEnd"/>
      <w:r>
        <w:rPr>
          <w:rStyle w:val="tlid-translation"/>
        </w:rPr>
        <w:t xml:space="preserve">. Οι βλάβες τύπου 4 και 5 χαρακτηρίζονται από </w:t>
      </w:r>
      <w:proofErr w:type="spellStart"/>
      <w:r>
        <w:rPr>
          <w:rStyle w:val="tlid-translation"/>
        </w:rPr>
        <w:t>κλασματοδενδρώδωση</w:t>
      </w:r>
      <w:proofErr w:type="spellEnd"/>
      <w:r>
        <w:rPr>
          <w:rStyle w:val="tlid-translation"/>
        </w:rPr>
        <w:t xml:space="preserve"> </w:t>
      </w:r>
      <w:proofErr w:type="spellStart"/>
      <w:r>
        <w:rPr>
          <w:rStyle w:val="tlid-translation"/>
        </w:rPr>
        <w:t>αστροκυττάρων</w:t>
      </w:r>
      <w:proofErr w:type="spellEnd"/>
      <w:r>
        <w:rPr>
          <w:rStyle w:val="tlid-translation"/>
        </w:rPr>
        <w:t xml:space="preserve">, ελλείψει ενεργοποίησης συμπληρώματος. Είναι ενδιαφέρον ότι οι βλάβες τύπου 6 χαρακτηρίζονται από πρωτογενή </w:t>
      </w:r>
      <w:proofErr w:type="spellStart"/>
      <w:r>
        <w:rPr>
          <w:rStyle w:val="tlid-translation"/>
        </w:rPr>
        <w:t>απομυελίνωση</w:t>
      </w:r>
      <w:proofErr w:type="spellEnd"/>
      <w:r>
        <w:rPr>
          <w:rStyle w:val="tlid-translation"/>
        </w:rPr>
        <w:t xml:space="preserve"> σε συνδυασμό με απόπτωση </w:t>
      </w:r>
      <w:proofErr w:type="spellStart"/>
      <w:r>
        <w:rPr>
          <w:rStyle w:val="tlid-translation"/>
        </w:rPr>
        <w:t>ολιγοδενδροκυττάρων</w:t>
      </w:r>
      <w:proofErr w:type="spellEnd"/>
      <w:r>
        <w:rPr>
          <w:rStyle w:val="tlid-translation"/>
        </w:rPr>
        <w:t xml:space="preserve"> και </w:t>
      </w:r>
      <w:proofErr w:type="spellStart"/>
      <w:r>
        <w:rPr>
          <w:rStyle w:val="tlid-translation"/>
        </w:rPr>
        <w:t>αστροκυτταρική</w:t>
      </w:r>
      <w:proofErr w:type="spellEnd"/>
      <w:r>
        <w:rPr>
          <w:rStyle w:val="tlid-translation"/>
        </w:rPr>
        <w:t xml:space="preserve"> </w:t>
      </w:r>
      <w:proofErr w:type="spellStart"/>
      <w:r>
        <w:rPr>
          <w:rStyle w:val="tlid-translation"/>
        </w:rPr>
        <w:t>κλασματοδένδρωση</w:t>
      </w:r>
      <w:proofErr w:type="spellEnd"/>
      <w:r>
        <w:rPr>
          <w:rStyle w:val="tlid-translation"/>
        </w:rPr>
        <w:t>, η οποία είναι παρόμοια με βλάβη μοτίβου III σε ασθενείς με MS. Επιπλέον, οι συγγραφείς παρατήρησαν ότι οι βλάβες τύπου 6 παρατηρήθηκαν σε 4 από 7 ασθενείς με NMOSD, υποδηλώνοντας ότι οι βλάβες τύπου 6 είναι συχνές σε ασθενείς με NMOSD</w:t>
      </w:r>
      <w:r w:rsidR="003B0B02">
        <w:rPr>
          <w:rStyle w:val="tlid-translation"/>
        </w:rPr>
        <w:t xml:space="preserve"> (</w:t>
      </w:r>
      <w:r w:rsidR="003B0B02">
        <w:rPr>
          <w:rStyle w:val="tlid-translation"/>
          <w:lang w:val="en-US"/>
        </w:rPr>
        <w:t>Yokote</w:t>
      </w:r>
      <w:r w:rsidR="003B0B02" w:rsidRPr="003B0B02">
        <w:rPr>
          <w:rStyle w:val="tlid-translation"/>
        </w:rPr>
        <w:t xml:space="preserve"> &amp; </w:t>
      </w:r>
      <w:r w:rsidR="003B0B02">
        <w:rPr>
          <w:rStyle w:val="tlid-translation"/>
          <w:lang w:val="en-US"/>
        </w:rPr>
        <w:t>Muzuasawa</w:t>
      </w:r>
      <w:r w:rsidR="003B0B02" w:rsidRPr="003B0B02">
        <w:rPr>
          <w:rStyle w:val="tlid-translation"/>
        </w:rPr>
        <w:t>, 2016).</w:t>
      </w:r>
    </w:p>
    <w:p w:rsidR="003B0B02" w:rsidRPr="00F6789D" w:rsidRDefault="003B0B02" w:rsidP="006F52EC">
      <w:pPr>
        <w:rPr>
          <w:rStyle w:val="tlid-translation"/>
        </w:rPr>
      </w:pPr>
    </w:p>
    <w:p w:rsidR="003B0B02" w:rsidRDefault="003B0B02" w:rsidP="003B0B02">
      <w:pPr>
        <w:pStyle w:val="3"/>
        <w:rPr>
          <w:lang w:eastAsia="el-GR"/>
        </w:rPr>
      </w:pPr>
      <w:bookmarkStart w:id="53" w:name="_Toc57241654"/>
      <w:r w:rsidRPr="003B0B02">
        <w:rPr>
          <w:lang w:eastAsia="el-GR"/>
        </w:rPr>
        <w:t xml:space="preserve">4.1.2 </w:t>
      </w:r>
      <w:r>
        <w:rPr>
          <w:lang w:eastAsia="el-GR"/>
        </w:rPr>
        <w:t xml:space="preserve">Διαφορές </w:t>
      </w:r>
      <w:r w:rsidR="00231771">
        <w:rPr>
          <w:lang w:eastAsia="el-GR"/>
        </w:rPr>
        <w:t xml:space="preserve">και ομοιότητες </w:t>
      </w:r>
      <w:r>
        <w:rPr>
          <w:lang w:eastAsia="el-GR"/>
        </w:rPr>
        <w:t>σε α</w:t>
      </w:r>
      <w:r w:rsidRPr="003B0B02">
        <w:rPr>
          <w:lang w:eastAsia="el-GR"/>
        </w:rPr>
        <w:t>κτινολογικά χαρακτηριστικά</w:t>
      </w:r>
      <w:bookmarkEnd w:id="53"/>
      <w:r w:rsidRPr="003B0B02">
        <w:rPr>
          <w:lang w:eastAsia="el-GR"/>
        </w:rPr>
        <w:t xml:space="preserve"> </w:t>
      </w:r>
    </w:p>
    <w:p w:rsidR="003B0B02" w:rsidRDefault="003B0B02" w:rsidP="006F52EC">
      <w:pPr>
        <w:rPr>
          <w:rFonts w:eastAsia="Times New Roman"/>
          <w:szCs w:val="24"/>
          <w:lang w:eastAsia="el-GR"/>
        </w:rPr>
      </w:pPr>
      <w:r>
        <w:rPr>
          <w:rFonts w:eastAsia="Times New Roman"/>
          <w:szCs w:val="24"/>
          <w:lang w:eastAsia="el-GR"/>
        </w:rPr>
        <w:t>Μ</w:t>
      </w:r>
      <w:r w:rsidRPr="003B0B02">
        <w:rPr>
          <w:rFonts w:eastAsia="Times New Roman"/>
          <w:szCs w:val="24"/>
          <w:lang w:eastAsia="el-GR"/>
        </w:rPr>
        <w:t>ελέτες μαγνητικού συντονισμού (MRI) αποκάλυψαν επίσης εμφανείς ομοιότητες μεταξύ MS και NMOSD. Παρόλο που οι επιμήκεις εκτεταμένες εγκάρσιες μυελίτιδες βλάβες θεωρούνται χαρακτηριστικά γνωρίσματα του NMOSD (</w:t>
      </w:r>
      <w:proofErr w:type="spellStart"/>
      <w:r w:rsidRPr="003B0B02">
        <w:rPr>
          <w:rFonts w:eastAsia="Times New Roman"/>
          <w:szCs w:val="24"/>
          <w:lang w:eastAsia="el-GR"/>
        </w:rPr>
        <w:t>Fujihara</w:t>
      </w:r>
      <w:proofErr w:type="spellEnd"/>
      <w:r w:rsidRPr="003B0B02">
        <w:rPr>
          <w:rFonts w:eastAsia="Times New Roman"/>
          <w:szCs w:val="24"/>
          <w:lang w:eastAsia="el-GR"/>
        </w:rPr>
        <w:t>, 2011), η μυελίτιδα βρέθηκε στο 14% των αρχικών περιστατικών μυελίτιδας μεταξύ 25 ασθενών με NMOSD θετικά για αντισώματα αντι-AQP4 και το 40% αυτών των ασθενών με σύντομη μυελίτιδα κατά την πρώτη εκδήλωση (</w:t>
      </w:r>
      <w:proofErr w:type="spellStart"/>
      <w:r w:rsidRPr="003B0B02">
        <w:rPr>
          <w:rFonts w:eastAsia="Times New Roman"/>
          <w:szCs w:val="24"/>
          <w:lang w:eastAsia="el-GR"/>
        </w:rPr>
        <w:t>Flanagan</w:t>
      </w:r>
      <w:proofErr w:type="spellEnd"/>
      <w:r w:rsidRPr="003B0B02">
        <w:rPr>
          <w:rFonts w:eastAsia="Times New Roman"/>
          <w:szCs w:val="24"/>
          <w:lang w:eastAsia="el-GR"/>
        </w:rPr>
        <w:t xml:space="preserve"> </w:t>
      </w:r>
      <w:proofErr w:type="spellStart"/>
      <w:r w:rsidRPr="003B0B02">
        <w:rPr>
          <w:rFonts w:eastAsia="Times New Roman"/>
          <w:szCs w:val="24"/>
          <w:lang w:eastAsia="el-GR"/>
        </w:rPr>
        <w:t>et</w:t>
      </w:r>
      <w:proofErr w:type="spellEnd"/>
      <w:r w:rsidRPr="003B0B02">
        <w:rPr>
          <w:rFonts w:eastAsia="Times New Roman"/>
          <w:szCs w:val="24"/>
          <w:lang w:eastAsia="el-GR"/>
        </w:rPr>
        <w:t xml:space="preserve"> </w:t>
      </w:r>
      <w:proofErr w:type="spellStart"/>
      <w:r w:rsidRPr="003B0B02">
        <w:rPr>
          <w:rFonts w:eastAsia="Times New Roman"/>
          <w:szCs w:val="24"/>
          <w:lang w:eastAsia="el-GR"/>
        </w:rPr>
        <w:t>al</w:t>
      </w:r>
      <w:proofErr w:type="spellEnd"/>
      <w:r w:rsidRPr="003B0B02">
        <w:rPr>
          <w:rFonts w:eastAsia="Times New Roman"/>
          <w:szCs w:val="24"/>
          <w:lang w:eastAsia="el-GR"/>
        </w:rPr>
        <w:t xml:space="preserve">., 2015). Αυτές οι παρατηρήσεις υποδηλώνουν ότι τα επεισόδια μικρής μυελίτιδας μπορεί να μην είναι ασυνήθιστα μεταξύ των ασθενών με NMOSD με </w:t>
      </w:r>
      <w:r w:rsidRPr="003B0B02">
        <w:rPr>
          <w:rFonts w:eastAsia="Times New Roman"/>
          <w:szCs w:val="24"/>
          <w:lang w:eastAsia="el-GR"/>
        </w:rPr>
        <w:lastRenderedPageBreak/>
        <w:t xml:space="preserve">αντισώματα αντι-AQP4 και ότι το NMOSD δεν μπορεί να διακριθεί από τη σκλήρυνση κατά πλάκας μόνο με βάση ένα εύρημα MRI ενός νωτιαίου μυελού. </w:t>
      </w:r>
    </w:p>
    <w:p w:rsidR="00231771" w:rsidRDefault="003B0B02" w:rsidP="006F52EC">
      <w:pPr>
        <w:rPr>
          <w:rFonts w:eastAsia="Times New Roman"/>
          <w:szCs w:val="24"/>
          <w:lang w:eastAsia="el-GR"/>
        </w:rPr>
      </w:pPr>
      <w:r w:rsidRPr="003B0B02">
        <w:rPr>
          <w:rFonts w:eastAsia="Times New Roman"/>
          <w:szCs w:val="24"/>
          <w:lang w:eastAsia="el-GR"/>
        </w:rPr>
        <w:t xml:space="preserve">Πρόσφατα, </w:t>
      </w:r>
      <w:r>
        <w:rPr>
          <w:rFonts w:eastAsia="Times New Roman"/>
          <w:szCs w:val="24"/>
          <w:lang w:eastAsia="el-GR"/>
        </w:rPr>
        <w:t xml:space="preserve">αναφέρθηκε από τους </w:t>
      </w:r>
      <w:proofErr w:type="spellStart"/>
      <w:r w:rsidRPr="003B0B02">
        <w:rPr>
          <w:rFonts w:eastAsia="Times New Roman"/>
          <w:szCs w:val="24"/>
          <w:lang w:eastAsia="el-GR"/>
        </w:rPr>
        <w:t>Yokote</w:t>
      </w:r>
      <w:proofErr w:type="spellEnd"/>
      <w:r w:rsidRPr="003B0B02">
        <w:rPr>
          <w:rFonts w:eastAsia="Times New Roman"/>
          <w:szCs w:val="24"/>
          <w:lang w:eastAsia="el-GR"/>
        </w:rPr>
        <w:t xml:space="preserve"> </w:t>
      </w:r>
      <w:proofErr w:type="spellStart"/>
      <w:r w:rsidRPr="003B0B02">
        <w:rPr>
          <w:rFonts w:eastAsia="Times New Roman"/>
          <w:szCs w:val="24"/>
          <w:lang w:eastAsia="el-GR"/>
        </w:rPr>
        <w:t>et</w:t>
      </w:r>
      <w:proofErr w:type="spellEnd"/>
      <w:r w:rsidRPr="003B0B02">
        <w:rPr>
          <w:rFonts w:eastAsia="Times New Roman"/>
          <w:szCs w:val="24"/>
          <w:lang w:eastAsia="el-GR"/>
        </w:rPr>
        <w:t xml:space="preserve"> </w:t>
      </w:r>
      <w:proofErr w:type="spellStart"/>
      <w:r w:rsidRPr="003B0B02">
        <w:rPr>
          <w:rFonts w:eastAsia="Times New Roman"/>
          <w:szCs w:val="24"/>
          <w:lang w:eastAsia="el-GR"/>
        </w:rPr>
        <w:t>al</w:t>
      </w:r>
      <w:proofErr w:type="spellEnd"/>
      <w:r w:rsidRPr="003B0B02">
        <w:rPr>
          <w:rFonts w:eastAsia="Times New Roman"/>
          <w:szCs w:val="24"/>
          <w:lang w:eastAsia="el-GR"/>
        </w:rPr>
        <w:t>.</w:t>
      </w:r>
      <w:r>
        <w:rPr>
          <w:rFonts w:eastAsia="Times New Roman"/>
          <w:szCs w:val="24"/>
          <w:lang w:eastAsia="el-GR"/>
        </w:rPr>
        <w:t xml:space="preserve"> (</w:t>
      </w:r>
      <w:r w:rsidRPr="003B0B02">
        <w:rPr>
          <w:rFonts w:eastAsia="Times New Roman"/>
          <w:szCs w:val="24"/>
          <w:lang w:eastAsia="el-GR"/>
        </w:rPr>
        <w:t>2015</w:t>
      </w:r>
      <w:r w:rsidR="007A5074" w:rsidRPr="007A5074">
        <w:rPr>
          <w:rFonts w:eastAsia="Times New Roman"/>
          <w:szCs w:val="24"/>
          <w:lang w:eastAsia="el-GR"/>
        </w:rPr>
        <w:t>)</w:t>
      </w:r>
      <w:r>
        <w:rPr>
          <w:rFonts w:eastAsia="Times New Roman"/>
          <w:szCs w:val="24"/>
          <w:lang w:eastAsia="el-GR"/>
        </w:rPr>
        <w:t xml:space="preserve">, </w:t>
      </w:r>
      <w:r w:rsidRPr="003B0B02">
        <w:rPr>
          <w:rFonts w:eastAsia="Times New Roman"/>
          <w:szCs w:val="24"/>
          <w:lang w:eastAsia="el-GR"/>
        </w:rPr>
        <w:t>ότι η ενίσχυση του νωτιαίου μυελού (RE) ήταν συχνή όχι μόνο σε ασθενείς με σκλήρυνση κατά πλάκας, αλλά και σε ασθενείς με NMOSD στην ενεργή φάση, με συχνότητα 31,2%</w:t>
      </w:r>
      <w:r>
        <w:rPr>
          <w:rFonts w:eastAsia="Times New Roman"/>
          <w:szCs w:val="24"/>
          <w:lang w:eastAsia="el-GR"/>
        </w:rPr>
        <w:t>.</w:t>
      </w:r>
      <w:r w:rsidRPr="003B0B02">
        <w:rPr>
          <w:rFonts w:eastAsia="Times New Roman"/>
          <w:szCs w:val="24"/>
          <w:lang w:eastAsia="el-GR"/>
        </w:rPr>
        <w:t xml:space="preserve"> Αυτές οι ομοιότητες δημιούργησαν κάποια αμφιβολία σχετικά με το εάν οι βλάβες του νωτιαίου μυελού με RE στ</w:t>
      </w:r>
      <w:r w:rsidR="00231771">
        <w:rPr>
          <w:rFonts w:eastAsia="Times New Roman"/>
          <w:szCs w:val="24"/>
          <w:lang w:eastAsia="el-GR"/>
        </w:rPr>
        <w:t>ην</w:t>
      </w:r>
      <w:r w:rsidRPr="003B0B02">
        <w:rPr>
          <w:rFonts w:eastAsia="Times New Roman"/>
          <w:szCs w:val="24"/>
          <w:lang w:eastAsia="el-GR"/>
        </w:rPr>
        <w:t xml:space="preserve"> NMOSD ήταν εντελώς διαφορετικές από αυτές στ</w:t>
      </w:r>
      <w:r w:rsidR="00231771">
        <w:rPr>
          <w:rFonts w:eastAsia="Times New Roman"/>
          <w:szCs w:val="24"/>
          <w:lang w:eastAsia="el-GR"/>
        </w:rPr>
        <w:t>ην</w:t>
      </w:r>
      <w:r w:rsidRPr="003B0B02">
        <w:rPr>
          <w:rFonts w:eastAsia="Times New Roman"/>
          <w:szCs w:val="24"/>
          <w:lang w:eastAsia="el-GR"/>
        </w:rPr>
        <w:t xml:space="preserve"> MS. </w:t>
      </w:r>
    </w:p>
    <w:p w:rsidR="003B0B02" w:rsidRDefault="003B0B02" w:rsidP="006F52EC">
      <w:pPr>
        <w:rPr>
          <w:rFonts w:eastAsia="Times New Roman"/>
          <w:szCs w:val="24"/>
          <w:lang w:eastAsia="el-GR"/>
        </w:rPr>
      </w:pPr>
      <w:r w:rsidRPr="003B0B02">
        <w:rPr>
          <w:rFonts w:eastAsia="Times New Roman"/>
          <w:szCs w:val="24"/>
          <w:lang w:eastAsia="el-GR"/>
        </w:rPr>
        <w:t xml:space="preserve">Είναι ενδιαφέρον ότι </w:t>
      </w:r>
      <w:r w:rsidR="00231771">
        <w:rPr>
          <w:rFonts w:eastAsia="Times New Roman"/>
          <w:szCs w:val="24"/>
          <w:lang w:eastAsia="el-GR"/>
        </w:rPr>
        <w:t>βρέθηκε</w:t>
      </w:r>
      <w:r w:rsidRPr="003B0B02">
        <w:rPr>
          <w:rFonts w:eastAsia="Times New Roman"/>
          <w:szCs w:val="24"/>
          <w:lang w:eastAsia="el-GR"/>
        </w:rPr>
        <w:t xml:space="preserve"> επίσης ότι το αρσενικό </w:t>
      </w:r>
      <w:r w:rsidR="00231771">
        <w:rPr>
          <w:rFonts w:eastAsia="Times New Roman"/>
          <w:szCs w:val="24"/>
          <w:lang w:eastAsia="el-GR"/>
        </w:rPr>
        <w:t>φύλλο</w:t>
      </w:r>
      <w:r w:rsidRPr="003B0B02">
        <w:rPr>
          <w:rFonts w:eastAsia="Times New Roman"/>
          <w:szCs w:val="24"/>
          <w:lang w:eastAsia="el-GR"/>
        </w:rPr>
        <w:t xml:space="preserve"> συσχετίστηκε σημαντικά με το νωτιαίο μυελό RE (</w:t>
      </w:r>
      <w:proofErr w:type="spellStart"/>
      <w:r w:rsidRPr="003B0B02">
        <w:rPr>
          <w:rFonts w:eastAsia="Times New Roman"/>
          <w:szCs w:val="24"/>
          <w:lang w:eastAsia="el-GR"/>
        </w:rPr>
        <w:t>Yokote</w:t>
      </w:r>
      <w:proofErr w:type="spellEnd"/>
      <w:r w:rsidRPr="003B0B02">
        <w:rPr>
          <w:rFonts w:eastAsia="Times New Roman"/>
          <w:szCs w:val="24"/>
          <w:lang w:eastAsia="el-GR"/>
        </w:rPr>
        <w:t xml:space="preserve"> </w:t>
      </w:r>
      <w:proofErr w:type="spellStart"/>
      <w:r w:rsidRPr="003B0B02">
        <w:rPr>
          <w:rFonts w:eastAsia="Times New Roman"/>
          <w:szCs w:val="24"/>
          <w:lang w:eastAsia="el-GR"/>
        </w:rPr>
        <w:t>et</w:t>
      </w:r>
      <w:proofErr w:type="spellEnd"/>
      <w:r w:rsidRPr="003B0B02">
        <w:rPr>
          <w:rFonts w:eastAsia="Times New Roman"/>
          <w:szCs w:val="24"/>
          <w:lang w:eastAsia="el-GR"/>
        </w:rPr>
        <w:t xml:space="preserve"> </w:t>
      </w:r>
      <w:proofErr w:type="spellStart"/>
      <w:r w:rsidRPr="003B0B02">
        <w:rPr>
          <w:rFonts w:eastAsia="Times New Roman"/>
          <w:szCs w:val="24"/>
          <w:lang w:eastAsia="el-GR"/>
        </w:rPr>
        <w:t>al</w:t>
      </w:r>
      <w:proofErr w:type="spellEnd"/>
      <w:r w:rsidRPr="003B0B02">
        <w:rPr>
          <w:rFonts w:eastAsia="Times New Roman"/>
          <w:szCs w:val="24"/>
          <w:lang w:eastAsia="el-GR"/>
        </w:rPr>
        <w:t xml:space="preserve">., 2015). </w:t>
      </w:r>
      <w:r w:rsidR="00231771">
        <w:rPr>
          <w:rFonts w:eastAsia="Times New Roman"/>
          <w:szCs w:val="24"/>
          <w:lang w:eastAsia="el-GR"/>
        </w:rPr>
        <w:t>Η</w:t>
      </w:r>
      <w:r w:rsidRPr="003B0B02">
        <w:rPr>
          <w:rFonts w:eastAsia="Times New Roman"/>
          <w:szCs w:val="24"/>
          <w:lang w:eastAsia="el-GR"/>
        </w:rPr>
        <w:t xml:space="preserve"> NMOSD επηρεάζει κυρίως τις γυναίκες (</w:t>
      </w:r>
      <w:proofErr w:type="spellStart"/>
      <w:r w:rsidRPr="003B0B02">
        <w:rPr>
          <w:rFonts w:eastAsia="Times New Roman"/>
          <w:szCs w:val="24"/>
          <w:lang w:eastAsia="el-GR"/>
        </w:rPr>
        <w:t>Fujihara</w:t>
      </w:r>
      <w:proofErr w:type="spellEnd"/>
      <w:r w:rsidRPr="003B0B02">
        <w:rPr>
          <w:rFonts w:eastAsia="Times New Roman"/>
          <w:szCs w:val="24"/>
          <w:lang w:eastAsia="el-GR"/>
        </w:rPr>
        <w:t>, 2011). Αυτή η κυριαρχία μπορεί να υποστηρίξει την ιδέα ότι οι βλάβες του νωτιαίου μυελού με RE θα μπορούσαν να διαφέρουν από τις «τυπικές» βλάβες NMOSD που ταξινομούνται ως τύποι 1, 2 και 3.</w:t>
      </w:r>
    </w:p>
    <w:p w:rsidR="00231771" w:rsidRDefault="00231771" w:rsidP="006F52EC">
      <w:pPr>
        <w:rPr>
          <w:rFonts w:eastAsia="Times New Roman"/>
          <w:szCs w:val="24"/>
          <w:lang w:eastAsia="el-GR"/>
        </w:rPr>
      </w:pPr>
    </w:p>
    <w:p w:rsidR="00231771" w:rsidRDefault="00231771" w:rsidP="00231771">
      <w:pPr>
        <w:pStyle w:val="3"/>
        <w:rPr>
          <w:lang w:eastAsia="el-GR"/>
        </w:rPr>
      </w:pPr>
      <w:bookmarkStart w:id="54" w:name="_Toc57241655"/>
      <w:r>
        <w:rPr>
          <w:lang w:eastAsia="el-GR"/>
        </w:rPr>
        <w:t>4.1.3 Διαφορές και ομοιότητες στα α</w:t>
      </w:r>
      <w:r w:rsidRPr="00231771">
        <w:rPr>
          <w:lang w:eastAsia="el-GR"/>
        </w:rPr>
        <w:t>νοσολογικά χαρακτηριστικά</w:t>
      </w:r>
      <w:bookmarkEnd w:id="54"/>
      <w:r w:rsidRPr="00231771">
        <w:rPr>
          <w:lang w:eastAsia="el-GR"/>
        </w:rPr>
        <w:t xml:space="preserve"> </w:t>
      </w:r>
    </w:p>
    <w:p w:rsidR="00231771" w:rsidRPr="00F6789D" w:rsidRDefault="00231771" w:rsidP="006F52EC">
      <w:pPr>
        <w:rPr>
          <w:rFonts w:eastAsia="Times New Roman"/>
          <w:szCs w:val="24"/>
          <w:lang w:eastAsia="el-GR"/>
        </w:rPr>
      </w:pPr>
      <w:r w:rsidRPr="00231771">
        <w:rPr>
          <w:rFonts w:eastAsia="Times New Roman"/>
          <w:szCs w:val="24"/>
          <w:lang w:eastAsia="el-GR"/>
        </w:rPr>
        <w:t xml:space="preserve">Μια άλλη ομοιότητα μεταξύ </w:t>
      </w:r>
      <w:r>
        <w:rPr>
          <w:rFonts w:eastAsia="Times New Roman"/>
          <w:szCs w:val="24"/>
          <w:lang w:eastAsia="el-GR"/>
        </w:rPr>
        <w:t xml:space="preserve">της </w:t>
      </w:r>
      <w:r w:rsidRPr="00231771">
        <w:rPr>
          <w:rFonts w:eastAsia="Times New Roman"/>
          <w:szCs w:val="24"/>
          <w:lang w:eastAsia="el-GR"/>
        </w:rPr>
        <w:t xml:space="preserve">MS και </w:t>
      </w:r>
      <w:r>
        <w:rPr>
          <w:rFonts w:eastAsia="Times New Roman"/>
          <w:szCs w:val="24"/>
          <w:lang w:eastAsia="el-GR"/>
        </w:rPr>
        <w:t xml:space="preserve">της </w:t>
      </w:r>
      <w:r w:rsidRPr="00231771">
        <w:rPr>
          <w:rFonts w:eastAsia="Times New Roman"/>
          <w:szCs w:val="24"/>
          <w:lang w:eastAsia="el-GR"/>
        </w:rPr>
        <w:t xml:space="preserve">NMOSD είναι το προφίλ </w:t>
      </w:r>
      <w:proofErr w:type="spellStart"/>
      <w:r w:rsidRPr="00231771">
        <w:rPr>
          <w:rFonts w:eastAsia="Times New Roman"/>
          <w:szCs w:val="24"/>
          <w:lang w:eastAsia="el-GR"/>
        </w:rPr>
        <w:t>κυτοκίνης</w:t>
      </w:r>
      <w:proofErr w:type="spellEnd"/>
      <w:r w:rsidRPr="00231771">
        <w:rPr>
          <w:rFonts w:eastAsia="Times New Roman"/>
          <w:szCs w:val="24"/>
          <w:lang w:eastAsia="el-GR"/>
        </w:rPr>
        <w:t>. Παρόλο που η σκλήρυνση κατά πλάκας έχει θεωρηθεί κλασικά ως ασθένεια που σχετίζεται με τον Τ βοηθητικό (</w:t>
      </w:r>
      <w:proofErr w:type="spellStart"/>
      <w:r w:rsidRPr="00231771">
        <w:rPr>
          <w:rFonts w:eastAsia="Times New Roman"/>
          <w:szCs w:val="24"/>
          <w:lang w:eastAsia="el-GR"/>
        </w:rPr>
        <w:t>Th</w:t>
      </w:r>
      <w:proofErr w:type="spellEnd"/>
      <w:r w:rsidRPr="00231771">
        <w:rPr>
          <w:rFonts w:eastAsia="Times New Roman"/>
          <w:szCs w:val="24"/>
          <w:lang w:eastAsia="el-GR"/>
        </w:rPr>
        <w:t xml:space="preserve">) 1, πρόσφατες μελέτες κατέδειξαν ότι η </w:t>
      </w:r>
      <w:proofErr w:type="spellStart"/>
      <w:r w:rsidRPr="00231771">
        <w:rPr>
          <w:rFonts w:eastAsia="Times New Roman"/>
          <w:szCs w:val="24"/>
          <w:lang w:eastAsia="el-GR"/>
        </w:rPr>
        <w:t>ιντερλευκίνη</w:t>
      </w:r>
      <w:proofErr w:type="spellEnd"/>
      <w:r w:rsidRPr="00231771">
        <w:rPr>
          <w:rFonts w:eastAsia="Times New Roman"/>
          <w:szCs w:val="24"/>
          <w:lang w:eastAsia="el-GR"/>
        </w:rPr>
        <w:t xml:space="preserve"> (IL) -17 παίζει καθοριστικό ρόλο στην </w:t>
      </w:r>
      <w:proofErr w:type="spellStart"/>
      <w:r w:rsidRPr="00231771">
        <w:rPr>
          <w:rFonts w:eastAsia="Times New Roman"/>
          <w:szCs w:val="24"/>
          <w:lang w:eastAsia="el-GR"/>
        </w:rPr>
        <w:t>παθογένεση</w:t>
      </w:r>
      <w:proofErr w:type="spellEnd"/>
      <w:r w:rsidRPr="00231771">
        <w:rPr>
          <w:rFonts w:eastAsia="Times New Roman"/>
          <w:szCs w:val="24"/>
          <w:lang w:eastAsia="el-GR"/>
        </w:rPr>
        <w:t xml:space="preserve"> της πειραματικής </w:t>
      </w:r>
      <w:proofErr w:type="spellStart"/>
      <w:r w:rsidRPr="00231771">
        <w:rPr>
          <w:rFonts w:eastAsia="Times New Roman"/>
          <w:szCs w:val="24"/>
          <w:lang w:eastAsia="el-GR"/>
        </w:rPr>
        <w:t>αυτοάνοσης</w:t>
      </w:r>
      <w:proofErr w:type="spellEnd"/>
      <w:r w:rsidRPr="00231771">
        <w:rPr>
          <w:rFonts w:eastAsia="Times New Roman"/>
          <w:szCs w:val="24"/>
          <w:lang w:eastAsia="el-GR"/>
        </w:rPr>
        <w:t xml:space="preserve"> </w:t>
      </w:r>
      <w:proofErr w:type="spellStart"/>
      <w:r w:rsidRPr="00231771">
        <w:rPr>
          <w:rFonts w:eastAsia="Times New Roman"/>
          <w:szCs w:val="24"/>
          <w:lang w:eastAsia="el-GR"/>
        </w:rPr>
        <w:t>εγκεφαλομυελίτιδας</w:t>
      </w:r>
      <w:proofErr w:type="spellEnd"/>
      <w:r w:rsidRPr="00231771">
        <w:rPr>
          <w:rFonts w:eastAsia="Times New Roman"/>
          <w:szCs w:val="24"/>
          <w:lang w:eastAsia="el-GR"/>
        </w:rPr>
        <w:t xml:space="preserve"> (ΕΑΕ) σε μοντέλα ποντικών </w:t>
      </w:r>
      <w:r>
        <w:rPr>
          <w:rFonts w:eastAsia="Times New Roman"/>
          <w:szCs w:val="24"/>
          <w:lang w:eastAsia="el-GR"/>
        </w:rPr>
        <w:t xml:space="preserve">με </w:t>
      </w:r>
      <w:r w:rsidRPr="00231771">
        <w:rPr>
          <w:rFonts w:eastAsia="Times New Roman"/>
          <w:szCs w:val="24"/>
          <w:lang w:eastAsia="el-GR"/>
        </w:rPr>
        <w:t>MS. Στους ανθρώπους, η συχνότητα των κυττάρων Th17 στο CSF των ασθενών με σκλήρυνση κατά πλάκας ήταν σημαντικά υψηλότερη από εκείνη των ασθενών με μη φλεγμονώδη νευρολογική νόσο (</w:t>
      </w:r>
      <w:proofErr w:type="spellStart"/>
      <w:r w:rsidRPr="00231771">
        <w:rPr>
          <w:rFonts w:eastAsia="Times New Roman"/>
          <w:szCs w:val="24"/>
          <w:lang w:eastAsia="el-GR"/>
        </w:rPr>
        <w:t>Brucklacher-Waldert</w:t>
      </w:r>
      <w:proofErr w:type="spellEnd"/>
      <w:r w:rsidRPr="00231771">
        <w:rPr>
          <w:rFonts w:eastAsia="Times New Roman"/>
          <w:szCs w:val="24"/>
          <w:lang w:eastAsia="el-GR"/>
        </w:rPr>
        <w:t xml:space="preserve"> </w:t>
      </w:r>
      <w:proofErr w:type="spellStart"/>
      <w:r w:rsidRPr="00231771">
        <w:rPr>
          <w:rFonts w:eastAsia="Times New Roman"/>
          <w:szCs w:val="24"/>
          <w:lang w:eastAsia="el-GR"/>
        </w:rPr>
        <w:t>et</w:t>
      </w:r>
      <w:proofErr w:type="spellEnd"/>
      <w:r w:rsidRPr="00231771">
        <w:rPr>
          <w:rFonts w:eastAsia="Times New Roman"/>
          <w:szCs w:val="24"/>
          <w:lang w:eastAsia="el-GR"/>
        </w:rPr>
        <w:t xml:space="preserve"> </w:t>
      </w:r>
      <w:proofErr w:type="spellStart"/>
      <w:r w:rsidRPr="00231771">
        <w:rPr>
          <w:rFonts w:eastAsia="Times New Roman"/>
          <w:szCs w:val="24"/>
          <w:lang w:eastAsia="el-GR"/>
        </w:rPr>
        <w:t>al</w:t>
      </w:r>
      <w:proofErr w:type="spellEnd"/>
      <w:r w:rsidRPr="00231771">
        <w:rPr>
          <w:rFonts w:eastAsia="Times New Roman"/>
          <w:szCs w:val="24"/>
          <w:lang w:eastAsia="el-GR"/>
        </w:rPr>
        <w:t>., 2009). Επιπλέον, ο αριθμός των Th17 κυττάρων στο CSF αυξάνεται σημαντικά κατά τη διάρκεια της σκλήρυνσης κατά πλάκας, αλλά αυτός των κυττάρων Th1 δεν το κάνει (</w:t>
      </w:r>
      <w:proofErr w:type="spellStart"/>
      <w:r w:rsidRPr="00231771">
        <w:rPr>
          <w:rFonts w:eastAsia="Times New Roman"/>
          <w:szCs w:val="24"/>
          <w:lang w:eastAsia="el-GR"/>
        </w:rPr>
        <w:t>Brucklacher-Waldert</w:t>
      </w:r>
      <w:proofErr w:type="spellEnd"/>
      <w:r w:rsidRPr="00231771">
        <w:rPr>
          <w:rFonts w:eastAsia="Times New Roman"/>
          <w:szCs w:val="24"/>
          <w:lang w:eastAsia="el-GR"/>
        </w:rPr>
        <w:t xml:space="preserve"> </w:t>
      </w:r>
      <w:proofErr w:type="spellStart"/>
      <w:r w:rsidRPr="00231771">
        <w:rPr>
          <w:rFonts w:eastAsia="Times New Roman"/>
          <w:szCs w:val="24"/>
          <w:lang w:eastAsia="el-GR"/>
        </w:rPr>
        <w:t>et</w:t>
      </w:r>
      <w:proofErr w:type="spellEnd"/>
      <w:r w:rsidRPr="00231771">
        <w:rPr>
          <w:rFonts w:eastAsia="Times New Roman"/>
          <w:szCs w:val="24"/>
          <w:lang w:eastAsia="el-GR"/>
        </w:rPr>
        <w:t xml:space="preserve"> </w:t>
      </w:r>
      <w:proofErr w:type="spellStart"/>
      <w:r w:rsidRPr="00231771">
        <w:rPr>
          <w:rFonts w:eastAsia="Times New Roman"/>
          <w:szCs w:val="24"/>
          <w:lang w:eastAsia="el-GR"/>
        </w:rPr>
        <w:t>al</w:t>
      </w:r>
      <w:proofErr w:type="spellEnd"/>
      <w:r w:rsidRPr="00231771">
        <w:rPr>
          <w:rFonts w:eastAsia="Times New Roman"/>
          <w:szCs w:val="24"/>
          <w:lang w:eastAsia="el-GR"/>
        </w:rPr>
        <w:t xml:space="preserve">., 2009). Αυτά τα ευρήματα υποδηλώνουν έντονα ότι η IL-17 παίζει καθοριστικό ρόλο στην </w:t>
      </w:r>
      <w:proofErr w:type="spellStart"/>
      <w:r w:rsidRPr="00231771">
        <w:rPr>
          <w:rFonts w:eastAsia="Times New Roman"/>
          <w:szCs w:val="24"/>
          <w:lang w:eastAsia="el-GR"/>
        </w:rPr>
        <w:t>παθογένεση</w:t>
      </w:r>
      <w:proofErr w:type="spellEnd"/>
      <w:r w:rsidRPr="00231771">
        <w:rPr>
          <w:rFonts w:eastAsia="Times New Roman"/>
          <w:szCs w:val="24"/>
          <w:lang w:eastAsia="el-GR"/>
        </w:rPr>
        <w:t xml:space="preserve"> της ΣΚΠ. Ωστόσο, στην ίδια μελέτη, ο απόλυτος αριθμός κυττάρων Th1 τόσο στο αίμα όσο και στο CSF ήταν περίπου 10 φορές υψηλότερος από τον αριθμό των κυττάρων Th17, υποδεικνύοντας περαιτέρω ότι τα κύτταρα Th1 είναι οι βασικοί παράγοντες της MS. Σε ασθενείς με NMOSD, οι </w:t>
      </w:r>
      <w:proofErr w:type="spellStart"/>
      <w:r w:rsidRPr="00231771">
        <w:rPr>
          <w:rFonts w:eastAsia="Times New Roman"/>
          <w:szCs w:val="24"/>
          <w:lang w:eastAsia="el-GR"/>
        </w:rPr>
        <w:t>κυτοκίνες</w:t>
      </w:r>
      <w:proofErr w:type="spellEnd"/>
      <w:r w:rsidRPr="00231771">
        <w:rPr>
          <w:rFonts w:eastAsia="Times New Roman"/>
          <w:szCs w:val="24"/>
          <w:lang w:eastAsia="el-GR"/>
        </w:rPr>
        <w:t xml:space="preserve"> που σχετίζονται με Th17 και Th2 αυξάνονται τόσο στο CSF όσο και στον ορό, σε σύγκριση με ασθενείς με σκλήρυνση κατά πλάκας, γεγονός που υποδηλώνει ότι τα κύτταρα Th17 εμπλέκονται κυρίως (</w:t>
      </w:r>
      <w:proofErr w:type="spellStart"/>
      <w:r w:rsidRPr="00231771">
        <w:rPr>
          <w:rFonts w:eastAsia="Times New Roman"/>
          <w:szCs w:val="24"/>
          <w:lang w:eastAsia="el-GR"/>
        </w:rPr>
        <w:t>Uzawa</w:t>
      </w:r>
      <w:proofErr w:type="spellEnd"/>
      <w:r>
        <w:rPr>
          <w:rFonts w:eastAsia="Times New Roman"/>
          <w:szCs w:val="24"/>
          <w:lang w:eastAsia="el-GR"/>
        </w:rPr>
        <w:t xml:space="preserve">, </w:t>
      </w:r>
      <w:r>
        <w:rPr>
          <w:rFonts w:eastAsia="Times New Roman"/>
          <w:szCs w:val="24"/>
          <w:lang w:val="en-US" w:eastAsia="el-GR"/>
        </w:rPr>
        <w:t>Masahiro</w:t>
      </w:r>
      <w:r w:rsidRPr="00231771">
        <w:rPr>
          <w:rFonts w:eastAsia="Times New Roman"/>
          <w:szCs w:val="24"/>
          <w:lang w:eastAsia="el-GR"/>
        </w:rPr>
        <w:t xml:space="preserve"> &amp; </w:t>
      </w:r>
      <w:r>
        <w:rPr>
          <w:rFonts w:eastAsia="Times New Roman"/>
          <w:szCs w:val="24"/>
          <w:lang w:val="en-US" w:eastAsia="el-GR"/>
        </w:rPr>
        <w:t>Kuwabara</w:t>
      </w:r>
      <w:r w:rsidRPr="00231771">
        <w:rPr>
          <w:rFonts w:eastAsia="Times New Roman"/>
          <w:szCs w:val="24"/>
          <w:lang w:eastAsia="el-GR"/>
        </w:rPr>
        <w:t xml:space="preserve">, 2014). Με βάση αυτά τα δεδομένα, είναι πιθανό ότι </w:t>
      </w:r>
      <w:r>
        <w:rPr>
          <w:rFonts w:eastAsia="Times New Roman"/>
          <w:szCs w:val="24"/>
          <w:lang w:eastAsia="el-GR"/>
        </w:rPr>
        <w:t>η</w:t>
      </w:r>
      <w:r w:rsidRPr="00231771">
        <w:rPr>
          <w:rFonts w:eastAsia="Times New Roman"/>
          <w:szCs w:val="24"/>
          <w:lang w:eastAsia="el-GR"/>
        </w:rPr>
        <w:t xml:space="preserve"> «τυπικό» MS είναι ανοσολογικά διαφορετικ</w:t>
      </w:r>
      <w:r>
        <w:rPr>
          <w:rFonts w:eastAsia="Times New Roman"/>
          <w:szCs w:val="24"/>
          <w:lang w:eastAsia="el-GR"/>
        </w:rPr>
        <w:t>ή</w:t>
      </w:r>
      <w:r w:rsidRPr="00231771">
        <w:rPr>
          <w:rFonts w:eastAsia="Times New Roman"/>
          <w:szCs w:val="24"/>
          <w:lang w:eastAsia="el-GR"/>
        </w:rPr>
        <w:t xml:space="preserve"> από τ</w:t>
      </w:r>
      <w:r>
        <w:rPr>
          <w:rFonts w:eastAsia="Times New Roman"/>
          <w:szCs w:val="24"/>
          <w:lang w:eastAsia="el-GR"/>
        </w:rPr>
        <w:t>ην</w:t>
      </w:r>
      <w:r w:rsidRPr="00231771">
        <w:rPr>
          <w:rFonts w:eastAsia="Times New Roman"/>
          <w:szCs w:val="24"/>
          <w:lang w:eastAsia="el-GR"/>
        </w:rPr>
        <w:t xml:space="preserve"> NMOSD. </w:t>
      </w:r>
    </w:p>
    <w:p w:rsidR="00CA0FC7" w:rsidRPr="000C582F" w:rsidRDefault="00CA0FC7" w:rsidP="006F52EC">
      <w:pPr>
        <w:rPr>
          <w:rFonts w:eastAsia="Times New Roman"/>
          <w:szCs w:val="24"/>
          <w:lang w:eastAsia="el-GR"/>
        </w:rPr>
      </w:pPr>
    </w:p>
    <w:p w:rsidR="000C582F" w:rsidRDefault="00A10FAF" w:rsidP="000C582F">
      <w:pPr>
        <w:pStyle w:val="1"/>
        <w:rPr>
          <w:lang w:eastAsia="el-GR"/>
        </w:rPr>
      </w:pPr>
      <w:bookmarkStart w:id="55" w:name="_Toc57241656"/>
      <w:r>
        <w:rPr>
          <w:lang w:eastAsia="el-GR"/>
        </w:rPr>
        <w:t>ΚΕΦΑΛΑΙΟ 5</w:t>
      </w:r>
      <w:r w:rsidRPr="00A10FAF">
        <w:rPr>
          <w:vertAlign w:val="superscript"/>
          <w:lang w:eastAsia="el-GR"/>
        </w:rPr>
        <w:t>ο</w:t>
      </w:r>
      <w:r>
        <w:rPr>
          <w:lang w:eastAsia="el-GR"/>
        </w:rPr>
        <w:t>:</w:t>
      </w:r>
      <w:r w:rsidR="000C582F">
        <w:rPr>
          <w:lang w:eastAsia="el-GR"/>
        </w:rPr>
        <w:t xml:space="preserve"> </w:t>
      </w:r>
      <w:r>
        <w:rPr>
          <w:lang w:eastAsia="el-GR"/>
        </w:rPr>
        <w:t>ΟΙΚΟΝΟΜΙΚΗ ΕΠΙΒΑΡΥΝΣΗ ΑΣΘΕΝΩΝ</w:t>
      </w:r>
      <w:bookmarkEnd w:id="55"/>
    </w:p>
    <w:p w:rsidR="000C582F" w:rsidRDefault="000C582F" w:rsidP="006F52EC">
      <w:pPr>
        <w:rPr>
          <w:rStyle w:val="tlid-translation"/>
        </w:rPr>
      </w:pPr>
      <w:r>
        <w:rPr>
          <w:rStyle w:val="tlid-translation"/>
        </w:rPr>
        <w:t>Συγκρίνοντας τα δεδομένα που της εγχώριας και διεθνούς αρθρογραφίας παρουσιάζεται ένα μεγάλο κενό στην επαρκή έρευνα σχετικά με τον οικονομικό αντίκτ</w:t>
      </w:r>
      <w:r w:rsidR="00C44E95">
        <w:rPr>
          <w:rStyle w:val="tlid-translation"/>
        </w:rPr>
        <w:t xml:space="preserve">υπο της σκλήρυνσης κατά πλάκας στην Ελλάδα </w:t>
      </w:r>
      <w:r w:rsidRPr="000C582F">
        <w:rPr>
          <w:rStyle w:val="tlid-translation"/>
        </w:rPr>
        <w:t>(</w:t>
      </w:r>
      <w:r>
        <w:rPr>
          <w:rStyle w:val="tlid-translation"/>
          <w:lang w:val="en-US"/>
        </w:rPr>
        <w:t>Vozikis</w:t>
      </w:r>
      <w:r w:rsidRPr="000C582F">
        <w:rPr>
          <w:rStyle w:val="tlid-translation"/>
        </w:rPr>
        <w:t xml:space="preserve"> &amp; </w:t>
      </w:r>
      <w:r>
        <w:rPr>
          <w:rStyle w:val="tlid-translation"/>
          <w:lang w:val="en-US"/>
        </w:rPr>
        <w:t>Sotiropoulou</w:t>
      </w:r>
      <w:r w:rsidRPr="000C582F">
        <w:rPr>
          <w:rStyle w:val="tlid-translation"/>
        </w:rPr>
        <w:t xml:space="preserve">, 2013). </w:t>
      </w:r>
      <w:r>
        <w:rPr>
          <w:rStyle w:val="tlid-translation"/>
        </w:rPr>
        <w:t xml:space="preserve">Αυτό το κενό φέρει ως αποτέλεσμα την απουσία επαρκούς υποστήριξης για τους ασθενείς που βιώνουν την νόσο αλλά και για τις οικογένειές τους. Τα οφέλη που παρέχονται από τον κρατικό μηχανισμό είναι περιορισμένα και ως εκ τούτου δεν μπορούν να καλύψουν τα σημαντικά ποσά που χρειάζεται να ξοδεύουν οι οικογένειες των ασθενών για αυτήν τη συγκεκριμένη ασθένεια, καθώς είναι υψηλό το κόστος ως μια χρόνια ασθένεια. Οι ασθενείς εξαρτώνται κυρίως από την οικογένειά τους για τις καθημερινές τους ανάγκες και επίσης για την οικονομική τους υποστήριξη. Η έρευνα που εκπόνησαν οι </w:t>
      </w:r>
      <w:r>
        <w:rPr>
          <w:rStyle w:val="tlid-translation"/>
          <w:lang w:val="en-US"/>
        </w:rPr>
        <w:t>Vozikis</w:t>
      </w:r>
      <w:r w:rsidRPr="000C582F">
        <w:rPr>
          <w:rStyle w:val="tlid-translation"/>
        </w:rPr>
        <w:t xml:space="preserve"> </w:t>
      </w:r>
      <w:r>
        <w:rPr>
          <w:rStyle w:val="tlid-translation"/>
        </w:rPr>
        <w:t xml:space="preserve">και </w:t>
      </w:r>
      <w:r>
        <w:rPr>
          <w:rStyle w:val="tlid-translation"/>
          <w:lang w:val="en-US"/>
        </w:rPr>
        <w:t>Sotiropoulou</w:t>
      </w:r>
      <w:r w:rsidRPr="000C582F">
        <w:rPr>
          <w:rStyle w:val="tlid-translation"/>
        </w:rPr>
        <w:t xml:space="preserve"> (2013) </w:t>
      </w:r>
      <w:r>
        <w:rPr>
          <w:rStyle w:val="tlid-translation"/>
        </w:rPr>
        <w:t>επιβεβαιώνει το παραπάνω συμπέρασμα.</w:t>
      </w:r>
    </w:p>
    <w:p w:rsidR="00993B34" w:rsidRDefault="000C582F" w:rsidP="006F52EC">
      <w:pPr>
        <w:rPr>
          <w:rStyle w:val="tlid-translation"/>
        </w:rPr>
      </w:pPr>
      <w:r>
        <w:rPr>
          <w:rStyle w:val="tlid-translation"/>
        </w:rPr>
        <w:t xml:space="preserve">Οι παραπάνω ερευνητές οδηγήθηκαν στα ευρήματά τους και τα σύγκριναν με προηγούμενα αποτελέσματα της μελέτης της Ελληνικής Εταιρείας για ΣΚΠ </w:t>
      </w:r>
      <w:r w:rsidR="00993B34" w:rsidRPr="00993B34">
        <w:rPr>
          <w:rStyle w:val="tlid-translation"/>
        </w:rPr>
        <w:t>(</w:t>
      </w:r>
      <w:r w:rsidR="00993B34">
        <w:rPr>
          <w:rStyle w:val="tlid-translation"/>
          <w:lang w:val="en-US"/>
        </w:rPr>
        <w:t>Orologas</w:t>
      </w:r>
      <w:r w:rsidR="00993B34" w:rsidRPr="00993B34">
        <w:rPr>
          <w:rStyle w:val="tlid-translation"/>
        </w:rPr>
        <w:t xml:space="preserve">, </w:t>
      </w:r>
      <w:r w:rsidR="00993B34">
        <w:rPr>
          <w:rStyle w:val="tlid-translation"/>
          <w:lang w:val="en-US"/>
        </w:rPr>
        <w:t>Thomaidis</w:t>
      </w:r>
      <w:r w:rsidR="00993B34" w:rsidRPr="00993B34">
        <w:rPr>
          <w:rStyle w:val="tlid-translation"/>
        </w:rPr>
        <w:t xml:space="preserve">, </w:t>
      </w:r>
      <w:r w:rsidR="00993B34">
        <w:rPr>
          <w:rStyle w:val="tlid-translation"/>
          <w:lang w:val="en-US"/>
        </w:rPr>
        <w:t>Baloyianni</w:t>
      </w:r>
      <w:r w:rsidR="00993B34" w:rsidRPr="00993B34">
        <w:rPr>
          <w:rStyle w:val="tlid-translation"/>
        </w:rPr>
        <w:t xml:space="preserve">, </w:t>
      </w:r>
      <w:r w:rsidR="00993B34">
        <w:rPr>
          <w:rStyle w:val="tlid-translation"/>
          <w:lang w:val="en-US"/>
        </w:rPr>
        <w:t>Kaplatsanidis</w:t>
      </w:r>
      <w:r w:rsidR="00993B34" w:rsidRPr="00993B34">
        <w:rPr>
          <w:rStyle w:val="tlid-translation"/>
        </w:rPr>
        <w:t xml:space="preserve">, </w:t>
      </w:r>
      <w:r w:rsidR="00993B34">
        <w:rPr>
          <w:rStyle w:val="tlid-translation"/>
          <w:lang w:val="en-US"/>
        </w:rPr>
        <w:t>Daglis</w:t>
      </w:r>
      <w:r w:rsidR="00993B34" w:rsidRPr="00993B34">
        <w:rPr>
          <w:rStyle w:val="tlid-translation"/>
        </w:rPr>
        <w:t xml:space="preserve">, </w:t>
      </w:r>
      <w:r w:rsidR="00993B34">
        <w:rPr>
          <w:rStyle w:val="tlid-translation"/>
          <w:lang w:val="en-US"/>
        </w:rPr>
        <w:t>Tsantaki</w:t>
      </w:r>
      <w:r w:rsidR="00993B34" w:rsidRPr="00993B34">
        <w:rPr>
          <w:rStyle w:val="tlid-translation"/>
        </w:rPr>
        <w:t xml:space="preserve">, 2013). </w:t>
      </w:r>
      <w:r>
        <w:rPr>
          <w:rStyle w:val="tlid-translation"/>
        </w:rPr>
        <w:t xml:space="preserve">Η μελέτη </w:t>
      </w:r>
      <w:r w:rsidR="00993B34">
        <w:rPr>
          <w:rStyle w:val="tlid-translation"/>
        </w:rPr>
        <w:t>τους</w:t>
      </w:r>
      <w:r>
        <w:rPr>
          <w:rStyle w:val="tlid-translation"/>
        </w:rPr>
        <w:t xml:space="preserve"> έδειξε ότι το 75% - 100% των δαπανών καλύπτεται από συστήματα κοινωνικής ασφάλισης, αλλά τα ποσά που παρέχονται δεν επαρκούν για την πληρωμή ειδικών θεραπειών</w:t>
      </w:r>
      <w:r w:rsidR="00993B34">
        <w:rPr>
          <w:rStyle w:val="tlid-translation"/>
        </w:rPr>
        <w:t xml:space="preserve"> που απαιτούνται στο πλαίσιο αντιμετώπισης της νόσου. </w:t>
      </w:r>
    </w:p>
    <w:p w:rsidR="00666671" w:rsidRDefault="000C582F" w:rsidP="006F52EC">
      <w:r>
        <w:rPr>
          <w:rStyle w:val="tlid-translation"/>
        </w:rPr>
        <w:t xml:space="preserve">Για </w:t>
      </w:r>
      <w:r w:rsidR="00993B34">
        <w:rPr>
          <w:rStyle w:val="tlid-translation"/>
        </w:rPr>
        <w:t>να υπολογιστούν τα ερευνητικά ευρήματα των παραπάνω ερευνών που σχετίζονται</w:t>
      </w:r>
      <w:r>
        <w:rPr>
          <w:rStyle w:val="tlid-translation"/>
        </w:rPr>
        <w:t xml:space="preserve"> με την οικονομική επιβάρυνση των κρατών μελών, η κλίμακα EDSS </w:t>
      </w:r>
      <w:r w:rsidR="00993B34">
        <w:rPr>
          <w:rStyle w:val="tlid-translation"/>
        </w:rPr>
        <w:t xml:space="preserve">χρησιμοποιήθηκε. </w:t>
      </w:r>
      <w:r>
        <w:rPr>
          <w:rStyle w:val="tlid-translation"/>
        </w:rPr>
        <w:t xml:space="preserve">Συγκεκριμένα, η έρευνα που πραγματοποιήθηκε στο Ηνωμένο Βασίλειο είχε μέσο ποσοστό EDSS 5,1, στη Γερμανία 4,4 , ενώ στην Ελλάδα, το ποσοστό είναι 3, το οποίο καταλήγει στο συμπέρασμα ότι </w:t>
      </w:r>
      <w:r w:rsidR="00666671">
        <w:rPr>
          <w:rStyle w:val="tlid-translation"/>
        </w:rPr>
        <w:t xml:space="preserve">οι Έλληνες ερευνητές καταγράφουν τους </w:t>
      </w:r>
      <w:r>
        <w:rPr>
          <w:rStyle w:val="tlid-translation"/>
        </w:rPr>
        <w:t xml:space="preserve">ασθενείς </w:t>
      </w:r>
      <w:r w:rsidR="00666671">
        <w:rPr>
          <w:rStyle w:val="tlid-translation"/>
        </w:rPr>
        <w:t xml:space="preserve">να </w:t>
      </w:r>
      <w:r>
        <w:rPr>
          <w:rStyle w:val="tlid-translation"/>
        </w:rPr>
        <w:t xml:space="preserve">είναι πλήρως </w:t>
      </w:r>
      <w:r w:rsidR="00666671">
        <w:rPr>
          <w:rStyle w:val="tlid-translation"/>
        </w:rPr>
        <w:t>περιπατητικοί</w:t>
      </w:r>
      <w:r>
        <w:rPr>
          <w:rStyle w:val="tlid-translation"/>
        </w:rPr>
        <w:t xml:space="preserve"> και </w:t>
      </w:r>
      <w:r w:rsidR="00666671">
        <w:rPr>
          <w:rStyle w:val="tlid-translation"/>
        </w:rPr>
        <w:t>να παρουσιάζουν</w:t>
      </w:r>
      <w:r>
        <w:rPr>
          <w:rStyle w:val="tlid-translation"/>
        </w:rPr>
        <w:t xml:space="preserve"> μέτρια </w:t>
      </w:r>
      <w:r w:rsidR="00666671">
        <w:rPr>
          <w:rStyle w:val="tlid-translation"/>
        </w:rPr>
        <w:t xml:space="preserve">λειτουργική </w:t>
      </w:r>
      <w:r>
        <w:rPr>
          <w:rStyle w:val="tlid-translation"/>
        </w:rPr>
        <w:t xml:space="preserve">αναπηρία </w:t>
      </w:r>
      <w:r w:rsidR="00666671" w:rsidRPr="00666671">
        <w:rPr>
          <w:rStyle w:val="tlid-translation"/>
        </w:rPr>
        <w:t>(</w:t>
      </w:r>
      <w:r w:rsidR="00666671">
        <w:rPr>
          <w:lang w:val="en-US"/>
        </w:rPr>
        <w:t>Vozikis</w:t>
      </w:r>
      <w:r w:rsidR="00666671" w:rsidRPr="00666671">
        <w:t xml:space="preserve"> &amp; </w:t>
      </w:r>
      <w:r w:rsidR="00666671" w:rsidRPr="000C582F">
        <w:rPr>
          <w:lang w:val="en-US"/>
        </w:rPr>
        <w:t>Sotiropoulou</w:t>
      </w:r>
      <w:r w:rsidR="00666671" w:rsidRPr="00666671">
        <w:t>, 2013).</w:t>
      </w:r>
    </w:p>
    <w:p w:rsidR="00666671" w:rsidRDefault="000C582F" w:rsidP="006F52EC">
      <w:pPr>
        <w:rPr>
          <w:rStyle w:val="tlid-translation"/>
        </w:rPr>
      </w:pPr>
      <w:r>
        <w:rPr>
          <w:rStyle w:val="tlid-translation"/>
        </w:rPr>
        <w:t xml:space="preserve">Ωστόσο, οι ασθενείς με σκλήρυνση κατά πλάκας και </w:t>
      </w:r>
      <w:r w:rsidR="00666671">
        <w:rPr>
          <w:rStyle w:val="tlid-translation"/>
        </w:rPr>
        <w:t>οι</w:t>
      </w:r>
      <w:r>
        <w:rPr>
          <w:rStyle w:val="tlid-translation"/>
        </w:rPr>
        <w:t xml:space="preserve"> οικογένειές τους πρέπει να προσαρμόσουν έναν νέο τρόπο ζωής, καθώς η καθημερινή ρουτίνα τους αλλάζει.</w:t>
      </w:r>
      <w:r w:rsidR="00666671">
        <w:rPr>
          <w:rStyle w:val="tlid-translation"/>
        </w:rPr>
        <w:t xml:space="preserve"> </w:t>
      </w:r>
      <w:r>
        <w:rPr>
          <w:rStyle w:val="tlid-translation"/>
        </w:rPr>
        <w:t>Τα άμεσα και έμμεσα έξοδά τους λόγω της νόσου είναι αρκετά αυξημένα, επομένως δεν είναι πάντα σε θέση να καλύψουν</w:t>
      </w:r>
      <w:r w:rsidR="00666671">
        <w:rPr>
          <w:rStyle w:val="tlid-translation"/>
        </w:rPr>
        <w:t xml:space="preserve"> τις ανάγκες τους</w:t>
      </w:r>
      <w:r>
        <w:rPr>
          <w:rStyle w:val="tlid-translation"/>
        </w:rPr>
        <w:t>.</w:t>
      </w:r>
      <w:r w:rsidR="00666671">
        <w:rPr>
          <w:rStyle w:val="tlid-translation"/>
        </w:rPr>
        <w:t xml:space="preserve"> </w:t>
      </w:r>
      <w:r>
        <w:rPr>
          <w:rStyle w:val="tlid-translation"/>
        </w:rPr>
        <w:t>Αυτό το παγκόσμιο πρόβλημα, αν και ο αντίκτυπός του ποικίλλει μεταξύ των διαφόρων χωρών, α</w:t>
      </w:r>
      <w:r w:rsidR="00666671">
        <w:rPr>
          <w:rStyle w:val="tlid-translation"/>
        </w:rPr>
        <w:t xml:space="preserve">ποκαλύπτεται και από την έρευνα των </w:t>
      </w:r>
      <w:r w:rsidR="00666671">
        <w:rPr>
          <w:lang w:val="en-US"/>
        </w:rPr>
        <w:t>Vozikis</w:t>
      </w:r>
      <w:r w:rsidR="00666671" w:rsidRPr="00666671">
        <w:t xml:space="preserve"> </w:t>
      </w:r>
      <w:r w:rsidR="00666671">
        <w:t>και</w:t>
      </w:r>
      <w:r w:rsidR="00666671" w:rsidRPr="00666671">
        <w:t xml:space="preserve"> </w:t>
      </w:r>
      <w:r w:rsidR="00666671" w:rsidRPr="000C582F">
        <w:rPr>
          <w:lang w:val="en-US"/>
        </w:rPr>
        <w:t>Sotiropoulou</w:t>
      </w:r>
      <w:r w:rsidR="00666671" w:rsidRPr="00666671">
        <w:t xml:space="preserve"> </w:t>
      </w:r>
      <w:r w:rsidR="00666671">
        <w:t>(2</w:t>
      </w:r>
      <w:r w:rsidR="00666671" w:rsidRPr="00666671">
        <w:t>013).</w:t>
      </w:r>
      <w:r w:rsidR="00666671">
        <w:rPr>
          <w:rStyle w:val="tlid-translation"/>
        </w:rPr>
        <w:t xml:space="preserve"> </w:t>
      </w:r>
      <w:r>
        <w:rPr>
          <w:rStyle w:val="tlid-translation"/>
        </w:rPr>
        <w:t>στην Ελλάδα.</w:t>
      </w:r>
    </w:p>
    <w:p w:rsidR="00175515" w:rsidRDefault="00666671" w:rsidP="006F52EC">
      <w:r>
        <w:rPr>
          <w:rStyle w:val="tlid-translation"/>
        </w:rPr>
        <w:lastRenderedPageBreak/>
        <w:t>Σύμφωνα με τα ευρήματα</w:t>
      </w:r>
      <w:r w:rsidR="000C582F">
        <w:rPr>
          <w:rStyle w:val="tlid-translation"/>
        </w:rPr>
        <w:t>,</w:t>
      </w:r>
      <w:r>
        <w:rPr>
          <w:rStyle w:val="tlid-translation"/>
        </w:rPr>
        <w:t xml:space="preserve"> λοιπόν, αυτής της έρευνας παρατηρείται</w:t>
      </w:r>
      <w:r w:rsidR="000C582F">
        <w:rPr>
          <w:rStyle w:val="tlid-translation"/>
        </w:rPr>
        <w:t xml:space="preserve"> σημαντική μείωση του εισοδήματος του </w:t>
      </w:r>
      <w:r>
        <w:rPr>
          <w:rStyle w:val="tlid-translation"/>
        </w:rPr>
        <w:t>πληθυσμού του που αντιμετωπίζει τη νόσο της</w:t>
      </w:r>
      <w:r w:rsidR="000C582F">
        <w:rPr>
          <w:rStyle w:val="tlid-translation"/>
        </w:rPr>
        <w:t xml:space="preserve"> </w:t>
      </w:r>
      <w:r>
        <w:rPr>
          <w:rStyle w:val="tlid-translation"/>
        </w:rPr>
        <w:t>πολλαπλής σκλήρυνσης</w:t>
      </w:r>
      <w:r w:rsidR="000C582F">
        <w:rPr>
          <w:rStyle w:val="tlid-translation"/>
        </w:rPr>
        <w:t>, ειδικά κατά τα δύο πρώτα χρόνια της έναρξης της ασθένειας.</w:t>
      </w:r>
      <w:r>
        <w:rPr>
          <w:rStyle w:val="tlid-translation"/>
        </w:rPr>
        <w:t xml:space="preserve"> </w:t>
      </w:r>
      <w:r w:rsidR="000C582F">
        <w:rPr>
          <w:rStyle w:val="tlid-translation"/>
        </w:rPr>
        <w:t xml:space="preserve">Συγκεκριμένα, το μέσο εισόδημά τους πριν από την ασθένεια ήταν 14.714 ευρώ </w:t>
      </w:r>
      <w:r>
        <w:rPr>
          <w:rStyle w:val="tlid-translation"/>
        </w:rPr>
        <w:t xml:space="preserve">ενώ </w:t>
      </w:r>
      <w:r w:rsidR="000C582F">
        <w:rPr>
          <w:rStyle w:val="tlid-translation"/>
        </w:rPr>
        <w:t>ένα χρόνο αργότερα, μειώθηκε σε 13.555 ευρώ, πέντε χρόνια αργότερα ήταν 12.824 ευρώ, γεγονός που επισημαίνει μείωση περίπου 2.000 ευρώ.</w:t>
      </w:r>
      <w:r>
        <w:rPr>
          <w:rStyle w:val="tlid-translation"/>
        </w:rPr>
        <w:t xml:space="preserve"> </w:t>
      </w:r>
      <w:r w:rsidR="000C582F">
        <w:rPr>
          <w:rStyle w:val="tlid-translation"/>
        </w:rPr>
        <w:t xml:space="preserve">Επιπλέον, </w:t>
      </w:r>
      <w:r>
        <w:rPr>
          <w:rStyle w:val="tlid-translation"/>
        </w:rPr>
        <w:t xml:space="preserve">σύμφωνα με τα συμπεράσματα της έρευνας </w:t>
      </w:r>
      <w:r w:rsidR="000C582F">
        <w:rPr>
          <w:rStyle w:val="tlid-translation"/>
        </w:rPr>
        <w:t xml:space="preserve">οι μέσες πληρωμές των ασθενών και των οικογενειών τους στην Ελλάδα </w:t>
      </w:r>
      <w:r w:rsidR="00175515">
        <w:rPr>
          <w:rStyle w:val="tlid-translation"/>
        </w:rPr>
        <w:t xml:space="preserve">που δεν καλύπτονται από το κράτος </w:t>
      </w:r>
      <w:r w:rsidR="000C582F">
        <w:rPr>
          <w:rStyle w:val="tlid-translation"/>
        </w:rPr>
        <w:t>ανέρχονται σε 8.334 ευρώ</w:t>
      </w:r>
      <w:r w:rsidR="00175515">
        <w:rPr>
          <w:rStyle w:val="tlid-translation"/>
        </w:rPr>
        <w:t xml:space="preserve"> ετησίως</w:t>
      </w:r>
      <w:r w:rsidR="000C582F">
        <w:rPr>
          <w:rStyle w:val="tlid-translation"/>
        </w:rPr>
        <w:t>.</w:t>
      </w:r>
    </w:p>
    <w:p w:rsidR="000C582F" w:rsidRDefault="00175515" w:rsidP="006F52EC">
      <w:pPr>
        <w:rPr>
          <w:rStyle w:val="tlid-translation"/>
        </w:rPr>
      </w:pPr>
      <w:r>
        <w:rPr>
          <w:rStyle w:val="tlid-translation"/>
        </w:rPr>
        <w:t>Σ</w:t>
      </w:r>
      <w:r w:rsidR="000C582F">
        <w:rPr>
          <w:rStyle w:val="tlid-translation"/>
        </w:rPr>
        <w:t xml:space="preserve">τα έξοδα </w:t>
      </w:r>
      <w:r>
        <w:rPr>
          <w:rStyle w:val="tlid-translation"/>
        </w:rPr>
        <w:t>που δεν καλύπτονται από την δημόσια ασφάλιση</w:t>
      </w:r>
      <w:r w:rsidR="000C582F">
        <w:rPr>
          <w:rStyle w:val="tlid-translation"/>
        </w:rPr>
        <w:t xml:space="preserve"> που υπολογίστηκαν παραπάνω, </w:t>
      </w:r>
      <w:r>
        <w:rPr>
          <w:rStyle w:val="tlid-translation"/>
        </w:rPr>
        <w:t xml:space="preserve">οι </w:t>
      </w:r>
      <w:r w:rsidR="006B746D">
        <w:rPr>
          <w:rStyle w:val="tlid-translation"/>
        </w:rPr>
        <w:t>ερευνητές</w:t>
      </w:r>
      <w:r>
        <w:rPr>
          <w:rStyle w:val="tlid-translation"/>
        </w:rPr>
        <w:t xml:space="preserve"> πρόσθεσαν </w:t>
      </w:r>
      <w:r w:rsidR="000C582F">
        <w:rPr>
          <w:rStyle w:val="tlid-translation"/>
        </w:rPr>
        <w:t>τη μείωση του εισοδήματος των ασθενών, λόγω της ασθένειάς του</w:t>
      </w:r>
      <w:r>
        <w:rPr>
          <w:rStyle w:val="tlid-translation"/>
        </w:rPr>
        <w:t>ς</w:t>
      </w:r>
      <w:r w:rsidR="000C582F">
        <w:rPr>
          <w:rStyle w:val="tlid-translation"/>
        </w:rPr>
        <w:t xml:space="preserve">, </w:t>
      </w:r>
      <w:r>
        <w:rPr>
          <w:rStyle w:val="tlid-translation"/>
        </w:rPr>
        <w:t xml:space="preserve">με αποτέλεσμα </w:t>
      </w:r>
      <w:r w:rsidR="000C582F">
        <w:rPr>
          <w:rStyle w:val="tlid-translation"/>
        </w:rPr>
        <w:t xml:space="preserve">η μέση οικονομική επιβάρυνση ετησίως </w:t>
      </w:r>
      <w:r>
        <w:rPr>
          <w:rStyle w:val="tlid-translation"/>
        </w:rPr>
        <w:t xml:space="preserve">να </w:t>
      </w:r>
      <w:r w:rsidR="000C582F">
        <w:rPr>
          <w:rStyle w:val="tlid-translation"/>
        </w:rPr>
        <w:t>αυξάνεται σε 10.334 ευρώ.</w:t>
      </w:r>
      <w:r>
        <w:rPr>
          <w:rStyle w:val="tlid-translation"/>
        </w:rPr>
        <w:t xml:space="preserve"> </w:t>
      </w:r>
      <w:r w:rsidR="000C582F">
        <w:rPr>
          <w:rStyle w:val="tlid-translation"/>
        </w:rPr>
        <w:t xml:space="preserve">Αυτό το ποσό μπορεί να θεωρηθεί πολύ υψηλότερο στην περίπτωση που οι ασθενείς με </w:t>
      </w:r>
      <w:r>
        <w:rPr>
          <w:rStyle w:val="tlid-translation"/>
        </w:rPr>
        <w:t xml:space="preserve">πολλαπλή </w:t>
      </w:r>
      <w:r w:rsidR="000C582F">
        <w:rPr>
          <w:rStyle w:val="tlid-translation"/>
        </w:rPr>
        <w:t>σκλήρυνση δεν μπορούν να εργαστούν πλέον (κάτι αρκετά κοινό</w:t>
      </w:r>
      <w:r>
        <w:rPr>
          <w:rStyle w:val="tlid-translation"/>
        </w:rPr>
        <w:t xml:space="preserve"> να συμβαίνει</w:t>
      </w:r>
      <w:r w:rsidR="000C582F">
        <w:rPr>
          <w:rStyle w:val="tlid-translation"/>
        </w:rPr>
        <w:t>) ή εάν ένα μέλος της οικογένειας σταματήσει να εργάζεται για να μείνει στο σπίτι και να τ</w:t>
      </w:r>
      <w:r>
        <w:rPr>
          <w:rStyle w:val="tlid-translation"/>
        </w:rPr>
        <w:t>ους φροντίσει (</w:t>
      </w:r>
      <w:r>
        <w:rPr>
          <w:rStyle w:val="tlid-translation"/>
          <w:lang w:val="en-US"/>
        </w:rPr>
        <w:t>Kapina</w:t>
      </w:r>
      <w:r w:rsidRPr="006B746D">
        <w:rPr>
          <w:rStyle w:val="tlid-translation"/>
        </w:rPr>
        <w:t>, 2009)</w:t>
      </w:r>
      <w:r w:rsidR="000C582F">
        <w:rPr>
          <w:rStyle w:val="tlid-translation"/>
        </w:rPr>
        <w:t>.</w:t>
      </w:r>
    </w:p>
    <w:p w:rsidR="000C582F" w:rsidRDefault="000C582F" w:rsidP="006F52EC">
      <w:pPr>
        <w:rPr>
          <w:rStyle w:val="tlid-translation"/>
        </w:rPr>
      </w:pPr>
      <w:r>
        <w:rPr>
          <w:rStyle w:val="tlid-translation"/>
        </w:rPr>
        <w:t xml:space="preserve">Αν και το σύστημα υγείας στην Ελλάδα πρέπει να είναι ανοιχτό και </w:t>
      </w:r>
      <w:proofErr w:type="spellStart"/>
      <w:r>
        <w:rPr>
          <w:rStyle w:val="tlid-translation"/>
        </w:rPr>
        <w:t>προσβάσιμο</w:t>
      </w:r>
      <w:proofErr w:type="spellEnd"/>
      <w:r>
        <w:rPr>
          <w:rStyle w:val="tlid-translation"/>
        </w:rPr>
        <w:t xml:space="preserve"> σε όλους, οι υπηρεσίες του συγκεντρώνονται κυρίως σε μεγάλες πόλεις.</w:t>
      </w:r>
      <w:r w:rsidR="006B746D" w:rsidRPr="006B746D">
        <w:rPr>
          <w:rStyle w:val="tlid-translation"/>
        </w:rPr>
        <w:t xml:space="preserve"> </w:t>
      </w:r>
      <w:r w:rsidR="006B746D">
        <w:rPr>
          <w:rStyle w:val="tlid-translation"/>
        </w:rPr>
        <w:t xml:space="preserve">Αυτό το γεγονός οδηγεί στο αποτέλεσμα ότι </w:t>
      </w:r>
      <w:r>
        <w:rPr>
          <w:rStyle w:val="tlid-translation"/>
        </w:rPr>
        <w:t xml:space="preserve">οι ασθενείς με </w:t>
      </w:r>
      <w:r w:rsidR="006B746D">
        <w:rPr>
          <w:rStyle w:val="tlid-translation"/>
        </w:rPr>
        <w:t xml:space="preserve">πολλαπλή </w:t>
      </w:r>
      <w:r>
        <w:rPr>
          <w:rStyle w:val="tlid-translation"/>
        </w:rPr>
        <w:t>σκλήρυνση που ζουν σε αγροτικές περιοχές πρέπει πάντα να μετακινούνται ή να ταξιδεύουν σε αστικές περιοχές όπου μπορούν να έχουν πρόσβαση στις κατάλληλες υπηρεσίες υγείας.</w:t>
      </w:r>
      <w:r w:rsidR="006B746D">
        <w:rPr>
          <w:rStyle w:val="tlid-translation"/>
        </w:rPr>
        <w:t xml:space="preserve"> Τα παραπάνω προκαλούν επίσης </w:t>
      </w:r>
      <w:r>
        <w:rPr>
          <w:rStyle w:val="tlid-translation"/>
        </w:rPr>
        <w:t xml:space="preserve">αυξημένα έξοδα </w:t>
      </w:r>
      <w:r w:rsidR="006B746D">
        <w:rPr>
          <w:rStyle w:val="tlid-translation"/>
        </w:rPr>
        <w:t>τα οποία δεν καλύπτονται</w:t>
      </w:r>
      <w:r>
        <w:rPr>
          <w:rStyle w:val="tlid-translation"/>
        </w:rPr>
        <w:t xml:space="preserve"> πάντοτε και πλήρως από τον οργανισμό κοινωνικής ασφάλισης, αν και α</w:t>
      </w:r>
      <w:r w:rsidR="006B746D">
        <w:rPr>
          <w:rStyle w:val="tlid-translation"/>
        </w:rPr>
        <w:t xml:space="preserve">ξίζει να σημειωθεί ότι </w:t>
      </w:r>
      <w:r>
        <w:rPr>
          <w:rStyle w:val="tlid-translation"/>
        </w:rPr>
        <w:t>μεγάλο μέρος των συνολικών εξόδων για τους ασθενείς με σκλήρυνση κατά πλάκας</w:t>
      </w:r>
      <w:r w:rsidR="006B746D">
        <w:rPr>
          <w:rStyle w:val="tlid-translation"/>
        </w:rPr>
        <w:t xml:space="preserve"> καλύπτεται</w:t>
      </w:r>
      <w:r>
        <w:rPr>
          <w:rStyle w:val="tlid-translation"/>
        </w:rPr>
        <w:t>.</w:t>
      </w:r>
    </w:p>
    <w:p w:rsidR="00A10FAF" w:rsidRDefault="00A10FAF" w:rsidP="006F52EC">
      <w:pPr>
        <w:rPr>
          <w:rStyle w:val="tlid-translation"/>
        </w:rPr>
      </w:pPr>
      <w:r>
        <w:rPr>
          <w:rStyle w:val="tlid-translation"/>
        </w:rPr>
        <w:t xml:space="preserve">Αντίστοιχη </w:t>
      </w:r>
      <w:r w:rsidR="00297ECD">
        <w:rPr>
          <w:rStyle w:val="tlid-translation"/>
        </w:rPr>
        <w:t>μελέτη καταγραφής του κόστους της πολλαπλής σκλήρυνσης για τον ασθενή</w:t>
      </w:r>
      <w:r>
        <w:rPr>
          <w:rStyle w:val="tlid-translation"/>
        </w:rPr>
        <w:t xml:space="preserve"> έχει πραγματοποιηθεί στην Αυστρία. Ένα σημαντικό εύρημα αυτής της μελέτης είναι η συντριπτική παρουσία κόπωσης σε όλους σχεδόν τους ασθενείς και η σημασία των γνωστικών δυσκολιών, ανεξάρτητα από τη σοβαρότητα της νόσου. Ομοίως, προβλήματα με το άγχος και την κατάθλιψη υπάρχουν στο ίδιο επίπεδο (σε περίπου 50% των ασθενών) </w:t>
      </w:r>
      <w:r w:rsidR="00297ECD">
        <w:rPr>
          <w:rStyle w:val="tlid-translation"/>
        </w:rPr>
        <w:t>καθ’ όλη την διάρκεια της νόσου</w:t>
      </w:r>
      <w:r>
        <w:rPr>
          <w:rStyle w:val="tlid-translation"/>
        </w:rPr>
        <w:t xml:space="preserve">. Παρόλο που τα δεδομένα δεν επιτρέπουν τη διερεύνηση αιτιωδών επιπτώσεων, σημειώνεται ότι και στις 16 χώρες της μελέτης ένας σημαντικός αριθμός ασθενών δεν είναι σε θέση να εργαστούν λόγω της σκλήρυνσης κατά πλάκας ήδη πολύ νωρίς στην ασθένεια και βασικά χωρίς σωματική αναπηρία. Στην Αυστρία, το 11,5% των ασθενών στην ήπια ομάδα (EDSS, 0–3) λαμβάνουν σύνταξη αναπηρίας. Έτσι, τα αποτελέσματα της μελέτης </w:t>
      </w:r>
      <w:r>
        <w:rPr>
          <w:rStyle w:val="tlid-translation"/>
        </w:rPr>
        <w:lastRenderedPageBreak/>
        <w:t xml:space="preserve">μας επιβεβαιώνουν προηγούμενα ευρήματα σε μια μελέτη με </w:t>
      </w:r>
      <w:proofErr w:type="spellStart"/>
      <w:r>
        <w:rPr>
          <w:rStyle w:val="tlid-translation"/>
        </w:rPr>
        <w:t>γερμανούς</w:t>
      </w:r>
      <w:proofErr w:type="spellEnd"/>
      <w:r>
        <w:rPr>
          <w:rStyle w:val="tlid-translation"/>
        </w:rPr>
        <w:t xml:space="preserve"> ασθενείς με σκλήρυνση κατά πλάκας που «αόρατα συμπτώματα όπως κόπωση, γνωστικές δυσκολίες και διαταραχές της διάθεσης μπορεί να έχουν τεράστιο αντί</w:t>
      </w:r>
      <w:r w:rsidR="00297ECD">
        <w:rPr>
          <w:rStyle w:val="tlid-translation"/>
        </w:rPr>
        <w:t xml:space="preserve">κτυπο στην ικανότητα εργασίας </w:t>
      </w:r>
      <w:r w:rsidR="00297ECD" w:rsidRPr="00297ECD">
        <w:rPr>
          <w:rStyle w:val="tlid-translation"/>
        </w:rPr>
        <w:t>(</w:t>
      </w:r>
      <w:r w:rsidR="00297ECD">
        <w:rPr>
          <w:rStyle w:val="tlid-translation"/>
          <w:lang w:val="en-US"/>
        </w:rPr>
        <w:t>Sterz</w:t>
      </w:r>
      <w:r w:rsidR="00297ECD" w:rsidRPr="00297ECD">
        <w:rPr>
          <w:rStyle w:val="tlid-translation"/>
        </w:rPr>
        <w:t xml:space="preserve">, </w:t>
      </w:r>
      <w:r w:rsidR="00297ECD">
        <w:rPr>
          <w:rStyle w:val="tlid-translation"/>
          <w:lang w:val="en-US"/>
        </w:rPr>
        <w:t>Ellenberger</w:t>
      </w:r>
      <w:r w:rsidR="00297ECD" w:rsidRPr="00297ECD">
        <w:rPr>
          <w:rStyle w:val="tlid-translation"/>
        </w:rPr>
        <w:t xml:space="preserve">, </w:t>
      </w:r>
      <w:r w:rsidR="00297ECD">
        <w:rPr>
          <w:rStyle w:val="tlid-translation"/>
          <w:lang w:val="en-US"/>
        </w:rPr>
        <w:t>Friede</w:t>
      </w:r>
      <w:r w:rsidR="00297ECD" w:rsidRPr="00297ECD">
        <w:rPr>
          <w:rStyle w:val="tlid-translation"/>
        </w:rPr>
        <w:t xml:space="preserve"> </w:t>
      </w:r>
      <w:r w:rsidR="00297ECD">
        <w:rPr>
          <w:rStyle w:val="tlid-translation"/>
          <w:lang w:val="en-US"/>
        </w:rPr>
        <w:t>et</w:t>
      </w:r>
      <w:r w:rsidR="00297ECD" w:rsidRPr="00297ECD">
        <w:rPr>
          <w:rStyle w:val="tlid-translation"/>
        </w:rPr>
        <w:t xml:space="preserve"> </w:t>
      </w:r>
      <w:r w:rsidR="00297ECD">
        <w:rPr>
          <w:rStyle w:val="tlid-translation"/>
          <w:lang w:val="en-US"/>
        </w:rPr>
        <w:t>al</w:t>
      </w:r>
      <w:r w:rsidR="00297ECD">
        <w:rPr>
          <w:rStyle w:val="tlid-translation"/>
        </w:rPr>
        <w:t>, 2016</w:t>
      </w:r>
      <w:r w:rsidR="00297ECD" w:rsidRPr="00297ECD">
        <w:rPr>
          <w:rStyle w:val="tlid-translation"/>
        </w:rPr>
        <w:t>).</w:t>
      </w:r>
      <w:r>
        <w:rPr>
          <w:rStyle w:val="tlid-translation"/>
        </w:rPr>
        <w:t xml:space="preserve"> Αυτά τα αποτελέσματα έχουν σημαντικές συνέπειες, τόσο για τη διαχείριση ασθενών με σκλήρυνση κατά πλάκας, για παράδειγμα, επικεντρώνονται στη </w:t>
      </w:r>
      <w:proofErr w:type="spellStart"/>
      <w:r>
        <w:rPr>
          <w:rStyle w:val="tlid-translation"/>
        </w:rPr>
        <w:t>συμπτωματική</w:t>
      </w:r>
      <w:proofErr w:type="spellEnd"/>
      <w:r>
        <w:rPr>
          <w:rStyle w:val="tlid-translation"/>
        </w:rPr>
        <w:t xml:space="preserve"> θεραπεία ή ακόμη και στην πρόληψη αυτών των συμπτωμάτων, και νομικά όργανα, όπως τα ταμεία ασθενείας και η πολιτική υγείας, για την αναγνώριση του κοινωνικοοικονομικού αντίκτυπου αυτών των εξουθενωτικών συμπτωμάτων στις ικανότητες εργασίας και την πρόωρη συνταξιοδότηση. Συμπερασματικά, αυτά τα δεδομένα χαρακτηρίζουν διάφορες πτυχές του βάρους </w:t>
      </w:r>
      <w:r w:rsidR="00297ECD">
        <w:rPr>
          <w:rStyle w:val="tlid-translation"/>
        </w:rPr>
        <w:t>της νόσου</w:t>
      </w:r>
      <w:r>
        <w:rPr>
          <w:rStyle w:val="tlid-translation"/>
        </w:rPr>
        <w:t xml:space="preserve"> για τους ασθενείς και την κοινωνία και καταγράφουν τα πρότυπα χρήσης των πόρων που θα μπορούσαν να ενημερώσουν τις μελλοντικές συστάσεις πολιτικής. Επιπλέον, αυτά τα δεδομένα παρέχουν είσοδο σε αναλύσεις κόστους-αποτελεσματικότητας για αποφάσεις αποζημίωσης.</w:t>
      </w:r>
    </w:p>
    <w:p w:rsidR="00297ECD" w:rsidRDefault="00297ECD" w:rsidP="006F52EC">
      <w:pPr>
        <w:rPr>
          <w:rStyle w:val="tlid-translation"/>
        </w:rPr>
      </w:pPr>
      <w:r>
        <w:rPr>
          <w:rStyle w:val="tlid-translation"/>
        </w:rPr>
        <w:t>Στην περίπτωση της Ολλανδίας, μόνο το 31% των ασθενών σε ηλικία εργασίας απασχολούνταν πραγματικά, κανένας από αυτούς δεν εργάστηκε με πλήρη απασχόληση και 15 από τους 96 συμμετέχοντες συμμετείχαν σε μακροχρόνια άδεια ασθενείας (</w:t>
      </w:r>
      <w:r w:rsidRPr="00297ECD">
        <w:rPr>
          <w:lang w:val="en-US"/>
        </w:rPr>
        <w:t>Uitdehaag</w:t>
      </w:r>
      <w:r w:rsidRPr="00297ECD">
        <w:t xml:space="preserve">, </w:t>
      </w:r>
      <w:r>
        <w:rPr>
          <w:lang w:val="en-US"/>
        </w:rPr>
        <w:t>Kobel</w:t>
      </w:r>
      <w:r w:rsidRPr="00297ECD">
        <w:t xml:space="preserve">, </w:t>
      </w:r>
      <w:r w:rsidRPr="00297ECD">
        <w:rPr>
          <w:lang w:val="en-US"/>
        </w:rPr>
        <w:t>Berg</w:t>
      </w:r>
      <w:r w:rsidRPr="00297ECD">
        <w:t xml:space="preserve">, </w:t>
      </w:r>
      <w:r w:rsidRPr="00297ECD">
        <w:rPr>
          <w:lang w:val="en-US"/>
        </w:rPr>
        <w:t>Capsa</w:t>
      </w:r>
      <w:r w:rsidRPr="00297ECD">
        <w:t xml:space="preserve"> &amp; </w:t>
      </w:r>
      <w:r w:rsidRPr="00297ECD">
        <w:rPr>
          <w:lang w:val="en-US"/>
        </w:rPr>
        <w:t>Dal</w:t>
      </w:r>
      <w:r w:rsidRPr="00297ECD">
        <w:t>é</w:t>
      </w:r>
      <w:r w:rsidRPr="00297ECD">
        <w:rPr>
          <w:lang w:val="en-US"/>
        </w:rPr>
        <w:t>n</w:t>
      </w:r>
      <w:r>
        <w:t xml:space="preserve">, </w:t>
      </w:r>
      <w:r w:rsidRPr="00297ECD">
        <w:t>2017)</w:t>
      </w:r>
      <w:r>
        <w:rPr>
          <w:rStyle w:val="tlid-translation"/>
        </w:rPr>
        <w:t>. Στο Βέλγιο, το 44% των ασθενών εργάστηκε, το ένα τέταρτο από αυτούς πλήρους απασχόλησης, ενώ στη Γερμανία τα ποσοστά ήταν 51% και 35%. Η χαμηλή συμμετοχή του εργατικού δυναμικού στις Κάτω Χώρες μπορεί να επηρεαστεί από το σχετικά γενναιόδωρο σύστημα παροχών αναπηρίας και τη συχνότητα της μερικής απασχόλησης, όχι μόνο από την ίδια την ασθένεια. Η συνέπεια αυτών των δύο παραγόντων, το χαμηλό κόστος υγειονομικής περίθαλψης και το χαμηλό ποσοστό συμμετοχής στην εργασία, είναι ότι οι απώλειες παραγωγής αντιπροσωπεύουν πολύ μεγαλύτερο ποσοστό κόστους σε ήπιες και μέτριες ασθένειες από ό, τι στις άλλες ευρωπαϊκές χώρες.</w:t>
      </w:r>
    </w:p>
    <w:p w:rsidR="00E26720" w:rsidRDefault="00297ECD" w:rsidP="006F52EC">
      <w:pPr>
        <w:rPr>
          <w:rStyle w:val="tlid-translation"/>
        </w:rPr>
      </w:pPr>
      <w:r>
        <w:rPr>
          <w:rStyle w:val="tlid-translation"/>
        </w:rPr>
        <w:t xml:space="preserve">Αντίστοιχα, στην περίπτωση της Γαλλίας </w:t>
      </w:r>
      <w:r w:rsidR="00E26720">
        <w:rPr>
          <w:rStyle w:val="tlid-translation"/>
        </w:rPr>
        <w:t>σε</w:t>
      </w:r>
      <w:r>
        <w:rPr>
          <w:rStyle w:val="tlid-translation"/>
        </w:rPr>
        <w:t xml:space="preserve"> μελέτη του 2005, το ετήσιο άμεσο κόστος ανά ασθενή (προσαρμοσμένο στις τιμές του 2015 χρησιμοποιώντας τον δείκτη τιμών καταναλωτή) ήταν 20.800 ευρώ, σε σύγκριση με 21.800 ευρώ σε </w:t>
      </w:r>
      <w:proofErr w:type="spellStart"/>
      <w:r w:rsidR="00E26720">
        <w:rPr>
          <w:rStyle w:val="tlid-translation"/>
        </w:rPr>
        <w:t>νεώτερη</w:t>
      </w:r>
      <w:proofErr w:type="spellEnd"/>
      <w:r w:rsidR="00E26720">
        <w:rPr>
          <w:rStyle w:val="tlid-translation"/>
        </w:rPr>
        <w:t xml:space="preserve"> </w:t>
      </w:r>
      <w:r>
        <w:rPr>
          <w:rStyle w:val="tlid-translation"/>
        </w:rPr>
        <w:t>μελέτη</w:t>
      </w:r>
      <w:r w:rsidR="00E26720">
        <w:rPr>
          <w:rStyle w:val="tlid-translation"/>
        </w:rPr>
        <w:t xml:space="preserve"> (</w:t>
      </w:r>
      <w:r w:rsidR="00E26720" w:rsidRPr="00E26720">
        <w:rPr>
          <w:szCs w:val="24"/>
          <w:lang w:val="en-US" w:eastAsia="el-GR"/>
        </w:rPr>
        <w:t>Lebrun</w:t>
      </w:r>
      <w:r w:rsidR="00E26720" w:rsidRPr="00E26720">
        <w:rPr>
          <w:szCs w:val="24"/>
          <w:lang w:eastAsia="el-GR"/>
        </w:rPr>
        <w:t>-</w:t>
      </w:r>
      <w:r w:rsidR="00E26720" w:rsidRPr="00E26720">
        <w:rPr>
          <w:szCs w:val="24"/>
          <w:lang w:val="en-US" w:eastAsia="el-GR"/>
        </w:rPr>
        <w:t>Frenay</w:t>
      </w:r>
      <w:r w:rsidR="00E26720" w:rsidRPr="00E26720">
        <w:rPr>
          <w:szCs w:val="24"/>
          <w:lang w:eastAsia="el-GR"/>
        </w:rPr>
        <w:t xml:space="preserve">, </w:t>
      </w:r>
      <w:r w:rsidR="00E26720" w:rsidRPr="00E26720">
        <w:rPr>
          <w:szCs w:val="24"/>
          <w:lang w:val="en-US" w:eastAsia="el-GR"/>
        </w:rPr>
        <w:t>Kobelt</w:t>
      </w:r>
      <w:r w:rsidR="00E26720" w:rsidRPr="00E26720">
        <w:rPr>
          <w:szCs w:val="24"/>
          <w:lang w:eastAsia="el-GR"/>
        </w:rPr>
        <w:t xml:space="preserve">, </w:t>
      </w:r>
      <w:r w:rsidR="00E26720" w:rsidRPr="00E26720">
        <w:rPr>
          <w:szCs w:val="24"/>
          <w:lang w:val="en-US" w:eastAsia="el-GR"/>
        </w:rPr>
        <w:t>Berg</w:t>
      </w:r>
      <w:r w:rsidR="00E26720" w:rsidRPr="00E26720">
        <w:rPr>
          <w:szCs w:val="24"/>
          <w:lang w:eastAsia="el-GR"/>
        </w:rPr>
        <w:t xml:space="preserve">, </w:t>
      </w:r>
      <w:r w:rsidR="00E26720" w:rsidRPr="00E26720">
        <w:rPr>
          <w:szCs w:val="24"/>
          <w:lang w:val="en-US" w:eastAsia="el-GR"/>
        </w:rPr>
        <w:t>Capsa</w:t>
      </w:r>
      <w:r w:rsidR="00E26720">
        <w:rPr>
          <w:szCs w:val="24"/>
          <w:lang w:eastAsia="el-GR"/>
        </w:rPr>
        <w:t xml:space="preserve"> </w:t>
      </w:r>
      <w:r w:rsidR="00E26720" w:rsidRPr="00E26720">
        <w:rPr>
          <w:szCs w:val="24"/>
          <w:lang w:eastAsia="el-GR"/>
        </w:rPr>
        <w:t xml:space="preserve">&amp; </w:t>
      </w:r>
      <w:r w:rsidR="00E26720" w:rsidRPr="00E26720">
        <w:rPr>
          <w:szCs w:val="24"/>
          <w:lang w:val="en-US" w:eastAsia="el-GR"/>
        </w:rPr>
        <w:t>Gannedahl</w:t>
      </w:r>
      <w:r w:rsidR="00E26720">
        <w:rPr>
          <w:szCs w:val="24"/>
          <w:lang w:eastAsia="el-GR"/>
        </w:rPr>
        <w:t xml:space="preserve">, </w:t>
      </w:r>
      <w:r w:rsidR="00E26720" w:rsidRPr="00E26720">
        <w:rPr>
          <w:szCs w:val="24"/>
          <w:lang w:eastAsia="el-GR"/>
        </w:rPr>
        <w:t>2017)</w:t>
      </w:r>
      <w:r>
        <w:rPr>
          <w:rStyle w:val="tlid-translation"/>
        </w:rPr>
        <w:t>. Έτσι, παρόλο που το 2015 οι συμμετέχοντες ήταν ελαφρώς νεότεροι (47 έτη σε σύγκριση με 49 έτη</w:t>
      </w:r>
      <w:r w:rsidR="00E26720">
        <w:rPr>
          <w:rStyle w:val="tlid-translation"/>
        </w:rPr>
        <w:t xml:space="preserve"> μέσος όρος ηλικίας</w:t>
      </w:r>
      <w:r>
        <w:rPr>
          <w:rStyle w:val="tlid-translation"/>
        </w:rPr>
        <w:t xml:space="preserve">) και είχαν χαμηλότερο μέσο EDSS (3,6 σε σύγκριση με 4,4), το συνολικό άμεσο κόστος έχει αυξηθεί. Το κόστος </w:t>
      </w:r>
      <w:r w:rsidR="00E26720">
        <w:rPr>
          <w:rStyle w:val="tlid-translation"/>
        </w:rPr>
        <w:t>των θεραπειών αντιμετώπισης της νόσου της πολλαπλής σκλήρυνσης</w:t>
      </w:r>
      <w:r>
        <w:rPr>
          <w:rStyle w:val="tlid-translation"/>
        </w:rPr>
        <w:t xml:space="preserve"> αντιπροσώπευε το 50%, το οποίο, ωστόσο, αντισταθμίστηκε σχεδόν πλήρως από σημαντικές μειώσεις στη νοσηλ</w:t>
      </w:r>
      <w:r w:rsidR="00E26720">
        <w:rPr>
          <w:rStyle w:val="tlid-translation"/>
        </w:rPr>
        <w:t>εία και την συμβουλευτική</w:t>
      </w:r>
      <w:r>
        <w:rPr>
          <w:rStyle w:val="tlid-translation"/>
        </w:rPr>
        <w:t xml:space="preserve">. Τα δεδομένα </w:t>
      </w:r>
      <w:r w:rsidR="00E26720">
        <w:rPr>
          <w:rStyle w:val="tlid-translation"/>
        </w:rPr>
        <w:t>σύμφωνα με τους ερευνητές</w:t>
      </w:r>
      <w:r>
        <w:rPr>
          <w:rStyle w:val="tlid-translation"/>
        </w:rPr>
        <w:t xml:space="preserve"> δεν επιτρέπουν λεπτομερή ανάλυση των λόγων αυτών των αλλαγών, αλλά εν μέρει μπορεί να οφείλονται στη </w:t>
      </w:r>
      <w:r>
        <w:rPr>
          <w:rStyle w:val="tlid-translation"/>
        </w:rPr>
        <w:lastRenderedPageBreak/>
        <w:t>χαμηλότερη βαθμολογία EDSS και σε χαμηλότερο ποσοστό ασθενών με υποτροπή (15% σε σύγκριση με το 25%), εν μέρει συνέπεια της η γενική τάση για περισσότερη θεραπεία ασθενών</w:t>
      </w:r>
      <w:r w:rsidR="00E26720">
        <w:rPr>
          <w:rStyle w:val="tlid-translation"/>
        </w:rPr>
        <w:t xml:space="preserve"> εκτός νοσοκομείου. </w:t>
      </w:r>
    </w:p>
    <w:p w:rsidR="00297ECD" w:rsidRDefault="00297ECD" w:rsidP="006F52EC">
      <w:pPr>
        <w:rPr>
          <w:rStyle w:val="tlid-translation"/>
        </w:rPr>
      </w:pPr>
      <w:r>
        <w:rPr>
          <w:rStyle w:val="tlid-translation"/>
        </w:rPr>
        <w:t xml:space="preserve">Συμπερασματικά, η μελέτη </w:t>
      </w:r>
      <w:r w:rsidR="00E26720">
        <w:rPr>
          <w:rStyle w:val="tlid-translation"/>
        </w:rPr>
        <w:t>της Γαλλίας</w:t>
      </w:r>
      <w:r>
        <w:rPr>
          <w:rStyle w:val="tlid-translation"/>
        </w:rPr>
        <w:t xml:space="preserve"> επιβεβαιώνει ότι το μεγαλύτερο μέρος του κόστους οφείλεται σε </w:t>
      </w:r>
      <w:r w:rsidR="00E26720">
        <w:rPr>
          <w:rStyle w:val="tlid-translation"/>
        </w:rPr>
        <w:t>θεραπείες</w:t>
      </w:r>
      <w:r>
        <w:rPr>
          <w:rStyle w:val="tlid-translation"/>
        </w:rPr>
        <w:t xml:space="preserve"> σε πρώιμες ασθένειες με ήπια αναπηρία και </w:t>
      </w:r>
      <w:r w:rsidR="00E26720">
        <w:rPr>
          <w:rStyle w:val="tlid-translation"/>
        </w:rPr>
        <w:t xml:space="preserve">απώλεια κινητικότητας </w:t>
      </w:r>
      <w:r>
        <w:rPr>
          <w:rStyle w:val="tlid-translation"/>
        </w:rPr>
        <w:t xml:space="preserve">και οικογενειακή βοήθεια σε μεταγενέστερα στάδια με υψηλότερες βαθμολογίες EDSS. Ωστόσο, πρέπει να υπογραμμιστεί ότι συμπτώματα όπως κόπωση και γνωστικοί περιορισμοί δεν καταγράφονται από το EDSS και μπορεί να είναι η αιτία για τους ασθενείς που πρέπει να εγκαταλείψουν το εργατικό δυναμικό νωρίς παρά τα πολύ χαμηλά επίπεδα EDSS. Η σκλήρυνση κατά πλάκας έχει δει μια εντυπωσιακή θεραπευτική πρόοδο, αλλά παραμένει μια πιο αόρατη αναπηρία που δεν αντιμετωπίζεται και επηρεάζει έντονα τις δραστηριότητες των ασθενών και </w:t>
      </w:r>
      <w:r w:rsidR="00E26720">
        <w:rPr>
          <w:rStyle w:val="tlid-translation"/>
        </w:rPr>
        <w:t>την ποιότητα ζωής τους.</w:t>
      </w:r>
    </w:p>
    <w:p w:rsidR="001965AF" w:rsidRDefault="007F57FB" w:rsidP="006F52EC">
      <w:pPr>
        <w:rPr>
          <w:rStyle w:val="tlid-translation"/>
        </w:rPr>
      </w:pPr>
      <w:r>
        <w:rPr>
          <w:rStyle w:val="tlid-translation"/>
        </w:rPr>
        <w:t>Αντίστοιχη έρευνα που εκπονήθηκε με πληθυσμό ασθενείς στη Σουηδία</w:t>
      </w:r>
      <w:r w:rsidR="001965AF">
        <w:rPr>
          <w:rStyle w:val="tlid-translation"/>
        </w:rPr>
        <w:t xml:space="preserve"> (</w:t>
      </w:r>
      <w:r w:rsidR="001965AF" w:rsidRPr="007F57FB">
        <w:rPr>
          <w:szCs w:val="24"/>
          <w:lang w:val="en-US" w:eastAsia="el-GR"/>
        </w:rPr>
        <w:t>Brundin</w:t>
      </w:r>
      <w:r w:rsidR="001965AF" w:rsidRPr="001965AF">
        <w:rPr>
          <w:szCs w:val="24"/>
          <w:lang w:eastAsia="el-GR"/>
        </w:rPr>
        <w:t xml:space="preserve">, </w:t>
      </w:r>
      <w:r w:rsidR="001965AF" w:rsidRPr="007F57FB">
        <w:rPr>
          <w:szCs w:val="24"/>
          <w:lang w:val="en-US" w:eastAsia="el-GR"/>
        </w:rPr>
        <w:t>Kobelt</w:t>
      </w:r>
      <w:r w:rsidR="001965AF" w:rsidRPr="001965AF">
        <w:rPr>
          <w:szCs w:val="24"/>
          <w:lang w:eastAsia="el-GR"/>
        </w:rPr>
        <w:t xml:space="preserve">, </w:t>
      </w:r>
      <w:r w:rsidR="001965AF" w:rsidRPr="007F57FB">
        <w:rPr>
          <w:szCs w:val="24"/>
          <w:lang w:val="en-US" w:eastAsia="el-GR"/>
        </w:rPr>
        <w:t>Berg</w:t>
      </w:r>
      <w:r w:rsidR="001965AF" w:rsidRPr="001965AF">
        <w:rPr>
          <w:szCs w:val="24"/>
          <w:lang w:eastAsia="el-GR"/>
        </w:rPr>
        <w:t xml:space="preserve">, </w:t>
      </w:r>
      <w:r w:rsidR="001965AF" w:rsidRPr="007F57FB">
        <w:rPr>
          <w:szCs w:val="24"/>
          <w:lang w:val="en-US" w:eastAsia="el-GR"/>
        </w:rPr>
        <w:t>Capsa</w:t>
      </w:r>
      <w:r w:rsidR="001965AF" w:rsidRPr="001965AF">
        <w:rPr>
          <w:szCs w:val="24"/>
          <w:lang w:eastAsia="el-GR"/>
        </w:rPr>
        <w:t xml:space="preserve">, &amp; </w:t>
      </w:r>
      <w:r w:rsidR="001965AF" w:rsidRPr="007F57FB">
        <w:rPr>
          <w:szCs w:val="24"/>
          <w:lang w:val="en-US" w:eastAsia="el-GR"/>
        </w:rPr>
        <w:t>Eriksson</w:t>
      </w:r>
      <w:r w:rsidR="001965AF" w:rsidRPr="001965AF">
        <w:rPr>
          <w:szCs w:val="24"/>
          <w:lang w:eastAsia="el-GR"/>
        </w:rPr>
        <w:t>, 2017)</w:t>
      </w:r>
      <w:r>
        <w:rPr>
          <w:rStyle w:val="tlid-translation"/>
        </w:rPr>
        <w:t>, οδήγησε στις παρακάτω παρατηρήσεις: Η προσωπική βοήθεια χρησιμοποιείται από το 13% των ασθενών του δείγματος, κατά μέσο όρο περίπου 400 ώρες το μήνα. Το 2005, ένα παρόμοιο ποσοστό ασθενών χρησιμοποίησε την υπηρεσία, αλλά κατά μέσο όρο 300 ώρες το μήνα, παρά τον υψηλότερο μέσο EDSS.3 Αυτή η αύξηση μπορεί να εξηγηθεί από μια γενική εξέλιξη της υπηρεσίας. Η διαθεσιμότητα προσωπικών βοηθών σε ασθενείς με μειονεκτήματα είναι μια ιδιαίτερη και πολύ γενναιόδωρη υπηρεσία που ιδρύθηκε στη Σουηδία στις αρχές της δεκαετίας του 1990, αλλά το κόστος της τίθεται υπό αμφισβήτηση. Το συνολικό κόστος αυξήθηκε από περίπου 5 δισεκατομμύρια SEK</w:t>
      </w:r>
      <w:r w:rsidR="001965AF">
        <w:rPr>
          <w:rStyle w:val="ab"/>
        </w:rPr>
        <w:footnoteReference w:id="6"/>
      </w:r>
      <w:r>
        <w:rPr>
          <w:rStyle w:val="tlid-translation"/>
        </w:rPr>
        <w:t xml:space="preserve"> στις αρχές της δεκαετίας του 1990 σε 30 δισεκατομμύρια SEK σήμερα. Οι μέσες εγκεκριμένες ώρες βοήθειας την εβδομάδα διπλασιάστηκαν από 65 ώρες το 1994 σε 130 ώρες το 2016 ή 18 ώρες την ημέρα</w:t>
      </w:r>
      <w:r w:rsidR="001965AF">
        <w:rPr>
          <w:rStyle w:val="tlid-translation"/>
        </w:rPr>
        <w:t xml:space="preserve">. </w:t>
      </w:r>
      <w:r>
        <w:rPr>
          <w:rStyle w:val="tlid-translation"/>
        </w:rPr>
        <w:t>Η συμμετοχή του εργατικού δυναμικού ήταν υψηλή, λαμβάνοντας υπόψη την υψηλή ηλικία και τη σοβαρότητα της νόσου στο δείγμα. Ωστόσο, όπως αναμενόταν με υψηλή απασχόληση σε μια σοβαρή ασθένεια, η πλειοψηφία των ασθενών εργά</w:t>
      </w:r>
      <w:r w:rsidR="001965AF">
        <w:rPr>
          <w:rStyle w:val="tlid-translation"/>
        </w:rPr>
        <w:t>ζονταν</w:t>
      </w:r>
      <w:r>
        <w:rPr>
          <w:rStyle w:val="tlid-translation"/>
        </w:rPr>
        <w:t xml:space="preserve"> με μερική απασχόληση και ένα μεγάλο ποσοστό ήταν σε μακροχρόνια άδεια ασθενείας. Το ίδιο μοτίβο παρατηρήθηκε </w:t>
      </w:r>
      <w:r w:rsidR="001965AF">
        <w:rPr>
          <w:rStyle w:val="tlid-translation"/>
        </w:rPr>
        <w:t xml:space="preserve">και </w:t>
      </w:r>
      <w:r>
        <w:rPr>
          <w:rStyle w:val="tlid-translation"/>
        </w:rPr>
        <w:t>το 2005.</w:t>
      </w:r>
      <w:r w:rsidR="001965AF">
        <w:rPr>
          <w:rStyle w:val="tlid-translation"/>
        </w:rPr>
        <w:t xml:space="preserve"> </w:t>
      </w:r>
      <w:r>
        <w:rPr>
          <w:rStyle w:val="tlid-translation"/>
        </w:rPr>
        <w:t xml:space="preserve">Η Σουηδία ήταν η μόνη χώρα που εφάρμοσε μια κοινωνική προοπτική για αποφάσεις σχετικά με τη χρηματοδότηση. Πιο πρόσφατα, έγιναν συζητήσεις σχετικά με το εάν η συμπερίληψη των απωλειών παραγωγής διακρίνει τις ασθένειες που επηρεάζουν κυρίως έναν ηλικιωμένο πληθυσμό. Ως αποτέλεσμα, η σχέση κόστους-αποτελεσματικότητας πρέπει τώρα </w:t>
      </w:r>
      <w:r>
        <w:rPr>
          <w:rStyle w:val="tlid-translation"/>
        </w:rPr>
        <w:lastRenderedPageBreak/>
        <w:t xml:space="preserve">να εκτιμάται με και χωρίς απώλειες παραγωγής, ώστε να συμμορφώνεται με την ηθική </w:t>
      </w:r>
      <w:r w:rsidR="001965AF">
        <w:rPr>
          <w:rStyle w:val="tlid-translation"/>
        </w:rPr>
        <w:t>πλατφόρμα των αρχών αποζημίωσης. Σύμφωνα με τους ερευνητές, η</w:t>
      </w:r>
      <w:r>
        <w:rPr>
          <w:rStyle w:val="tlid-translation"/>
        </w:rPr>
        <w:t xml:space="preserve"> παράβλεψη αυτών των δαπανών δεν φαίνεται λογική.</w:t>
      </w:r>
      <w:r w:rsidR="001965AF">
        <w:rPr>
          <w:rStyle w:val="tlid-translation"/>
        </w:rPr>
        <w:t xml:space="preserve"> </w:t>
      </w:r>
    </w:p>
    <w:p w:rsidR="007F57FB" w:rsidRDefault="007F57FB" w:rsidP="006F52EC">
      <w:pPr>
        <w:rPr>
          <w:rStyle w:val="tlid-translation"/>
        </w:rPr>
      </w:pPr>
      <w:r>
        <w:rPr>
          <w:rStyle w:val="tlid-translation"/>
        </w:rPr>
        <w:t xml:space="preserve">Συμπερασματικά, η μελέτη </w:t>
      </w:r>
      <w:r w:rsidR="001965AF">
        <w:rPr>
          <w:rStyle w:val="tlid-translation"/>
        </w:rPr>
        <w:t>της Σουηδίας</w:t>
      </w:r>
      <w:r>
        <w:rPr>
          <w:rStyle w:val="tlid-translation"/>
        </w:rPr>
        <w:t xml:space="preserve"> παρέχει ενημερωμένες πληροφορίες σχετικά με τη χρήση πόρων και το κόστος στα κράτη μέλη και επιβεβαιώνει τις τάσεις που εντοπίστηκαν σε προηγούμενες μελέτες. Ωστόσο, υπογραμμίζει τη σημασία των συμπτωμάτων που σχετίζονται με τη σκλήρυνση κατά πλάκας, όπως κόπωση, επίγνωση και πόνος και προτείνει ότι η επίδραση αυτών των συμπτωμάτων στο </w:t>
      </w:r>
      <w:r w:rsidR="001965AF">
        <w:rPr>
          <w:rStyle w:val="tlid-translation"/>
        </w:rPr>
        <w:t>ποιότητα ζωής των ασθενών</w:t>
      </w:r>
      <w:r>
        <w:rPr>
          <w:rStyle w:val="tlid-translation"/>
        </w:rPr>
        <w:t xml:space="preserve"> και επίσης ιδιαίτερα στις καθημερινές δραστηριότητες, τη συμμετοχή και την υποστήριξη του εργατικού δυναμικού </w:t>
      </w:r>
      <w:r w:rsidR="001965AF">
        <w:rPr>
          <w:rStyle w:val="tlid-translation"/>
        </w:rPr>
        <w:t xml:space="preserve">γεγονός που και αυτή η μελέτη προτείνει ότι </w:t>
      </w:r>
      <w:r>
        <w:rPr>
          <w:rStyle w:val="tlid-translation"/>
        </w:rPr>
        <w:t>πρέπει να μελετηθεί σε μεγαλύτερο βάθος.</w:t>
      </w:r>
    </w:p>
    <w:p w:rsidR="00FE4ADB" w:rsidRDefault="00FE4ADB" w:rsidP="006F52EC">
      <w:pPr>
        <w:rPr>
          <w:rStyle w:val="tlid-translation"/>
        </w:rPr>
      </w:pPr>
      <w:r>
        <w:rPr>
          <w:rStyle w:val="tlid-translation"/>
        </w:rPr>
        <w:t>Τέλος, αναφερόμαστε σε αντίστοιχη έρευνα που εκπονήθηκε στην Γερμανία</w:t>
      </w:r>
      <w:r w:rsidR="005008A9">
        <w:rPr>
          <w:rStyle w:val="tlid-translation"/>
        </w:rPr>
        <w:t xml:space="preserve"> (</w:t>
      </w:r>
      <w:r w:rsidR="005008A9" w:rsidRPr="005008A9">
        <w:rPr>
          <w:bCs/>
          <w:szCs w:val="24"/>
          <w:lang w:val="en-US"/>
        </w:rPr>
        <w:t>Flachenecker</w:t>
      </w:r>
      <w:r w:rsidR="005008A9" w:rsidRPr="005008A9">
        <w:rPr>
          <w:bCs/>
          <w:szCs w:val="24"/>
        </w:rPr>
        <w:t xml:space="preserve">, </w:t>
      </w:r>
      <w:r w:rsidR="005008A9" w:rsidRPr="005008A9">
        <w:rPr>
          <w:bCs/>
          <w:szCs w:val="24"/>
          <w:lang w:val="en-US"/>
        </w:rPr>
        <w:t>Kobelt</w:t>
      </w:r>
      <w:r w:rsidR="005008A9" w:rsidRPr="005008A9">
        <w:rPr>
          <w:bCs/>
          <w:szCs w:val="24"/>
        </w:rPr>
        <w:t xml:space="preserve">, </w:t>
      </w:r>
      <w:r w:rsidR="005008A9" w:rsidRPr="005008A9">
        <w:rPr>
          <w:bCs/>
          <w:szCs w:val="24"/>
          <w:lang w:val="en-US"/>
        </w:rPr>
        <w:t>Berg</w:t>
      </w:r>
      <w:r w:rsidR="005008A9" w:rsidRPr="005008A9">
        <w:rPr>
          <w:bCs/>
          <w:szCs w:val="24"/>
        </w:rPr>
        <w:t xml:space="preserve">, </w:t>
      </w:r>
      <w:r w:rsidR="005008A9" w:rsidRPr="005008A9">
        <w:rPr>
          <w:bCs/>
          <w:szCs w:val="24"/>
          <w:lang w:val="en-US"/>
        </w:rPr>
        <w:t>Capsa</w:t>
      </w:r>
      <w:r w:rsidR="005008A9" w:rsidRPr="005008A9">
        <w:rPr>
          <w:bCs/>
          <w:szCs w:val="24"/>
        </w:rPr>
        <w:t xml:space="preserve"> &amp; </w:t>
      </w:r>
      <w:r w:rsidR="005008A9" w:rsidRPr="005008A9">
        <w:rPr>
          <w:bCs/>
          <w:szCs w:val="24"/>
          <w:lang w:val="en-US"/>
        </w:rPr>
        <w:t>Gannedahl</w:t>
      </w:r>
      <w:r w:rsidR="005008A9" w:rsidRPr="005008A9">
        <w:rPr>
          <w:bCs/>
          <w:szCs w:val="24"/>
        </w:rPr>
        <w:t>, 2017).</w:t>
      </w:r>
      <w:r>
        <w:rPr>
          <w:rStyle w:val="tlid-translation"/>
        </w:rPr>
        <w:t xml:space="preserve"> Αυτή η μελέτη παρέχει μια </w:t>
      </w:r>
      <w:proofErr w:type="spellStart"/>
      <w:r>
        <w:rPr>
          <w:rStyle w:val="tlid-translation"/>
        </w:rPr>
        <w:t>επικαιροποίηση</w:t>
      </w:r>
      <w:proofErr w:type="spellEnd"/>
      <w:r>
        <w:rPr>
          <w:rStyle w:val="tlid-translation"/>
        </w:rPr>
        <w:t xml:space="preserve"> της τρέχουσας κατανόησης του βάρους της ΠΣ στους ασθενείς, το σύστημα υγειονομικής περίθαλψης και την κοινωνία γενικά στη Γερμανία, βάσει μιας διατομής έρευνας που πραγματοποιήθηκε το 2015. Το γερμανικό δείγμα είναι το μεγαλύτερο σε αυτήν την ευρωπαϊκή έρευνα, λόγω του μεγάλου αριθμού ασθενών με σκλήρυνση κατά πλάκας στη Γερμανία και της πολύ ευρείας διανομής έντυπων ερωτηματολογίων. Το ποσοστό ανταπόκρισης ήταν φαινομενικά χαμηλό, 12%, αλλά οφείλεται σε μεγάλο βαθμό στην απόφαση περιορισμού της συμμετοχής σε περίπου 5000 ασθενείς. Παρ 'όλα αυτά, το δείγμα ήταν γεωγραφικά αντιπροσωπευτικό, με επίπεδα εκπαίδευσης που ταιριάζουν με τον γενικό πληθυσμό και εξαπλώνεται καλά σε ολόκληρη τη σοβαρότητα της νόσου. Παρά τις απαντήσεις κυρίως σε έντυπη μορφή, οι ελλείπουσες απαντήσεις ήταν περιορισμένες. Έτσι, ενώ το δείγμα μπορεί να μην ταιριάζει με τον </w:t>
      </w:r>
      <w:proofErr w:type="spellStart"/>
      <w:r>
        <w:rPr>
          <w:rStyle w:val="tlid-translation"/>
        </w:rPr>
        <w:t>επιπολασμό</w:t>
      </w:r>
      <w:proofErr w:type="spellEnd"/>
      <w:r>
        <w:rPr>
          <w:rStyle w:val="tlid-translation"/>
        </w:rPr>
        <w:t xml:space="preserve"> όσον αφορά τη σοβαρότητα της νόσου ή τον τύπο της ΣΚΠ, τα αποτελέσματα από το EDSS είναι αντιπροσωπευτικά. </w:t>
      </w:r>
    </w:p>
    <w:p w:rsidR="000F06AA" w:rsidRDefault="00FE4ADB" w:rsidP="006F52EC">
      <w:pPr>
        <w:rPr>
          <w:rStyle w:val="tlid-translation"/>
        </w:rPr>
      </w:pPr>
      <w:r>
        <w:rPr>
          <w:rStyle w:val="tlid-translation"/>
        </w:rPr>
        <w:t>Τα συμπτώματα της ασθένειας και τα βοηθητικά προγράμματα ήταν πολύ παρόμοια με αυτά που εντοπίστηκαν σε όλες τις άλλες χώρες, επιβεβαιώνοντας το γεγονός ότι η σοβαρότητα της νόσου επηρεάζει τους ασθενείς με τον ίδιο τρόπο ανεξάρτητα από τη δικαιοδοσία ή τα συστήματα υγειονομικής περίθαλψης. Δεν αποτελεί έκπληξη το γεγονός ότι η οικογενειακή υποστήριξη (άτυπη φροντίδα) βρέθηκε να βρίσκεται σε παρόμοιο επίπεδο με τις άλλες χώρες.</w:t>
      </w:r>
      <w:r w:rsidR="000F06AA">
        <w:rPr>
          <w:rStyle w:val="tlid-translation"/>
        </w:rPr>
        <w:t xml:space="preserve"> </w:t>
      </w:r>
      <w:r>
        <w:rPr>
          <w:rStyle w:val="tlid-translation"/>
        </w:rPr>
        <w:t xml:space="preserve">Η χρήση των πόρων, ενώ αντανακλά τις κλινικές ανάγκες των ασθενών, πρέπει επίσης να εξεταστεί υπό το φως της οργάνωσης του γερμανικού συστήματος υγειονομικής περίθαλψης, των ιατρικών παραδόσεων και των πολιτιστικών κανόνων. Η Γερμανία έχει στο παρελθόν έχει </w:t>
      </w:r>
      <w:r>
        <w:rPr>
          <w:rStyle w:val="tlid-translation"/>
        </w:rPr>
        <w:lastRenderedPageBreak/>
        <w:t>υψηλά ποσοστά νοσοκομειακής περίθαλψης και διαβούλευσης για ασθενείς με σκλήρυνση κατά πλάκας</w:t>
      </w:r>
      <w:r w:rsidR="000F06AA">
        <w:rPr>
          <w:rStyle w:val="tlid-translation"/>
        </w:rPr>
        <w:t xml:space="preserve"> (</w:t>
      </w:r>
      <w:r w:rsidR="000F06AA">
        <w:rPr>
          <w:rStyle w:val="tlid-translation"/>
          <w:lang w:val="en-US"/>
        </w:rPr>
        <w:t>Kobelt</w:t>
      </w:r>
      <w:r w:rsidR="000F06AA" w:rsidRPr="000F06AA">
        <w:rPr>
          <w:rStyle w:val="tlid-translation"/>
        </w:rPr>
        <w:t xml:space="preserve">, </w:t>
      </w:r>
      <w:r w:rsidR="000F06AA">
        <w:rPr>
          <w:rStyle w:val="tlid-translation"/>
          <w:lang w:val="en-US"/>
        </w:rPr>
        <w:t>Ber</w:t>
      </w:r>
      <w:r w:rsidR="000F06AA" w:rsidRPr="000F06AA">
        <w:rPr>
          <w:rStyle w:val="tlid-translation"/>
        </w:rPr>
        <w:t xml:space="preserve">, </w:t>
      </w:r>
      <w:r w:rsidR="000F06AA">
        <w:rPr>
          <w:rStyle w:val="tlid-translation"/>
          <w:lang w:val="en-US"/>
        </w:rPr>
        <w:t>Lindgren</w:t>
      </w:r>
      <w:r w:rsidR="000F06AA" w:rsidRPr="000F06AA">
        <w:rPr>
          <w:rStyle w:val="tlid-translation"/>
        </w:rPr>
        <w:t>, 2006).</w:t>
      </w:r>
      <w:r>
        <w:rPr>
          <w:rStyle w:val="tlid-translation"/>
        </w:rPr>
        <w:t xml:space="preserve"> Το ποσοστό των εισαγωγών παραμένει το υψηλότερο μεταξύ των χωρών της Δυτικής Ευρώπης και το ποσοστό των ασθενών που έχουν συμβουλευτεί έναν νευρολόγο τους τελευταίους 3 μήνες είναι το υψηλότερο στη μελέτη συνολικά. Υπάρχουν πιθανώς αρκετοί λόγοι </w:t>
      </w:r>
      <w:proofErr w:type="spellStart"/>
      <w:r>
        <w:rPr>
          <w:rStyle w:val="tlid-translation"/>
        </w:rPr>
        <w:t>γι</w:t>
      </w:r>
      <w:proofErr w:type="spellEnd"/>
      <w:r>
        <w:rPr>
          <w:rStyle w:val="tlid-translation"/>
        </w:rPr>
        <w:t xml:space="preserve"> 'αυτό, μεταξύ των οποίων η ιατρική παράδοση </w:t>
      </w:r>
      <w:r w:rsidR="000F06AA">
        <w:rPr>
          <w:rStyle w:val="tlid-translation"/>
        </w:rPr>
        <w:t xml:space="preserve">με αποτέλεσμα οι ασθενείς να επισκέπτονται νευρολόγο </w:t>
      </w:r>
      <w:r>
        <w:rPr>
          <w:rStyle w:val="tlid-translation"/>
        </w:rPr>
        <w:t>κάθε 3 μήνες σύμφωνα με το σύστημα πληρωμών, καθώς και το γεγονός ότι η πλειονότητα των ασθενών ακολουθείται από ιδιωτικούς νευρολόγους.</w:t>
      </w:r>
    </w:p>
    <w:p w:rsidR="00FE4ADB" w:rsidRPr="00297ECD" w:rsidRDefault="00FE4ADB" w:rsidP="006F52EC">
      <w:pPr>
        <w:rPr>
          <w:rStyle w:val="tlid-translation"/>
        </w:rPr>
      </w:pPr>
      <w:r>
        <w:rPr>
          <w:rStyle w:val="tlid-translation"/>
        </w:rPr>
        <w:t xml:space="preserve">Ένα σημαντικό εύρημα αυτής της μελέτης είναι η συντριπτική παρουσία κόπωσης σε όλους σχεδόν τους ασθενείς και η σημασία των γνωστικών δυσκολιών, ανεξάρτητα από τη σοβαρότητα της νόσου. Ομοίως, προβλήματα με το άγχος και την κατάθλιψη υπάρχουν στο ίδιο επίπεδο (σε περίπου 50% των ασθενών) σε όλη τη νόσο. Στη Γερμανία, το 18,5% των ασθενών στην ήπια ομάδα (EDSS 0–3) λαμβάνουν σύνταξη αναπηρίας. Έτσι, τα αποτελέσματα της μελέτης μας επιβεβαιώνουν προηγούμενα ευρήματα σε </w:t>
      </w:r>
      <w:proofErr w:type="spellStart"/>
      <w:r>
        <w:rPr>
          <w:rStyle w:val="tlid-translation"/>
        </w:rPr>
        <w:t>γερμανούς</w:t>
      </w:r>
      <w:proofErr w:type="spellEnd"/>
      <w:r>
        <w:rPr>
          <w:rStyle w:val="tlid-translation"/>
        </w:rPr>
        <w:t xml:space="preserve"> ασθενείς με σκλήρυνση κατά πλάκας ότι «αόρατα» συμπτώματα όπως κόπωση, γνωστικές δυσκολίες και διαταραχές της διάθεσης μπορεί να έχουν τεράστιο αντίκτυπο στην ικανότητα εργασίας.</w:t>
      </w:r>
      <w:r w:rsidR="000F06AA">
        <w:rPr>
          <w:rStyle w:val="tlid-translation"/>
        </w:rPr>
        <w:t xml:space="preserve"> </w:t>
      </w:r>
      <w:r>
        <w:rPr>
          <w:rStyle w:val="tlid-translation"/>
        </w:rPr>
        <w:t xml:space="preserve">Συμπερασματικά, αυτά τα δεδομένα χαρακτηρίζουν διάφορες πτυχές του βάρους </w:t>
      </w:r>
      <w:r w:rsidR="000F06AA">
        <w:rPr>
          <w:rStyle w:val="tlid-translation"/>
        </w:rPr>
        <w:t>της ΠΣ</w:t>
      </w:r>
      <w:r>
        <w:rPr>
          <w:rStyle w:val="tlid-translation"/>
        </w:rPr>
        <w:t xml:space="preserve"> για τους ασθενείς και την κοινωνία και καταγράφουν τα πρότυπα χρήσης των πόρων που θα μπορούσαν να ενημερώσουν τις μελλοντικές συστάσεις πολιτικής. Επιπλέον, αυτά τα δεδομένα παρέχουν είσοδο σε αναλύσεις κόστους-αποτελεσματικότητας για αποφάσεις αποζημίωσης.</w:t>
      </w:r>
    </w:p>
    <w:p w:rsidR="006B746D" w:rsidRPr="000C582F" w:rsidRDefault="006B746D" w:rsidP="006F52EC">
      <w:pPr>
        <w:rPr>
          <w:rFonts w:eastAsia="Times New Roman"/>
          <w:szCs w:val="24"/>
          <w:lang w:eastAsia="el-GR"/>
        </w:rPr>
      </w:pPr>
    </w:p>
    <w:p w:rsidR="00A50CA8" w:rsidRDefault="00A50CA8" w:rsidP="00A50CA8">
      <w:pPr>
        <w:pStyle w:val="1"/>
        <w:rPr>
          <w:lang w:eastAsia="el-GR"/>
        </w:rPr>
      </w:pPr>
      <w:bookmarkStart w:id="56" w:name="_Toc57241657"/>
      <w:r>
        <w:rPr>
          <w:lang w:eastAsia="el-GR"/>
        </w:rPr>
        <w:t>ΕΠΙΛΟΓΟΣ</w:t>
      </w:r>
      <w:bookmarkEnd w:id="56"/>
    </w:p>
    <w:p w:rsidR="00D16256" w:rsidRDefault="00D16256" w:rsidP="007756D1">
      <w:pPr>
        <w:pStyle w:val="ac"/>
        <w:spacing w:after="120" w:line="360" w:lineRule="auto"/>
        <w:rPr>
          <w:lang w:eastAsia="el-GR"/>
        </w:rPr>
      </w:pPr>
      <w:r w:rsidRPr="00D16256">
        <w:rPr>
          <w:lang w:eastAsia="el-GR"/>
        </w:rPr>
        <w:t>Όπως συζητήθηκε σ</w:t>
      </w:r>
      <w:r>
        <w:rPr>
          <w:lang w:eastAsia="el-GR"/>
        </w:rPr>
        <w:t>τις</w:t>
      </w:r>
      <w:r w:rsidRPr="00D16256">
        <w:rPr>
          <w:lang w:eastAsia="el-GR"/>
        </w:rPr>
        <w:t xml:space="preserve"> προηγούμενες ενότητες, υπάρχουν κάποιες ομοιότητες μεταξύ </w:t>
      </w:r>
      <w:r>
        <w:rPr>
          <w:lang w:eastAsia="el-GR"/>
        </w:rPr>
        <w:t xml:space="preserve">της </w:t>
      </w:r>
      <w:r w:rsidR="00594468">
        <w:rPr>
          <w:lang w:eastAsia="el-GR"/>
        </w:rPr>
        <w:t>πολλαπλής σκλήρυνσης</w:t>
      </w:r>
      <w:r w:rsidRPr="00D16256">
        <w:rPr>
          <w:lang w:eastAsia="el-GR"/>
        </w:rPr>
        <w:t xml:space="preserve"> και </w:t>
      </w:r>
      <w:r>
        <w:rPr>
          <w:lang w:eastAsia="el-GR"/>
        </w:rPr>
        <w:t xml:space="preserve">της </w:t>
      </w:r>
      <w:r w:rsidR="00594468">
        <w:rPr>
          <w:lang w:eastAsia="el-GR"/>
        </w:rPr>
        <w:t xml:space="preserve">νόσου </w:t>
      </w:r>
      <w:r w:rsidR="00594468">
        <w:rPr>
          <w:lang w:val="en-US" w:eastAsia="el-GR"/>
        </w:rPr>
        <w:t>Devic</w:t>
      </w:r>
      <w:r>
        <w:rPr>
          <w:lang w:eastAsia="el-GR"/>
        </w:rPr>
        <w:t>, της οπτικής νευρομυελίτιδας,</w:t>
      </w:r>
      <w:r w:rsidRPr="00D16256">
        <w:rPr>
          <w:lang w:eastAsia="el-GR"/>
        </w:rPr>
        <w:t xml:space="preserve"> αν και αυτές οι </w:t>
      </w:r>
      <w:r>
        <w:rPr>
          <w:lang w:eastAsia="el-GR"/>
        </w:rPr>
        <w:t>δύο</w:t>
      </w:r>
      <w:r w:rsidRPr="00D16256">
        <w:rPr>
          <w:lang w:eastAsia="el-GR"/>
        </w:rPr>
        <w:t xml:space="preserve"> ασθένειες είναι ουσιαστικά διακριτές. Η </w:t>
      </w:r>
      <w:r w:rsidR="00594468">
        <w:rPr>
          <w:lang w:eastAsia="el-GR"/>
        </w:rPr>
        <w:t>κατανόηση των ομοιοτήτων μεταξύ τους</w:t>
      </w:r>
      <w:r w:rsidRPr="00D16256">
        <w:rPr>
          <w:lang w:eastAsia="el-GR"/>
        </w:rPr>
        <w:t xml:space="preserve"> μας βοηθά να δούμε μια άτυπη περίπτωση που είναι το οριακό </w:t>
      </w:r>
      <w:r w:rsidR="00C63BDD">
        <w:rPr>
          <w:lang w:eastAsia="el-GR"/>
        </w:rPr>
        <w:t>σημείο</w:t>
      </w:r>
      <w:r w:rsidRPr="00D16256">
        <w:rPr>
          <w:lang w:eastAsia="el-GR"/>
        </w:rPr>
        <w:t xml:space="preserve"> μεταξύ </w:t>
      </w:r>
      <w:r w:rsidR="00C63BDD">
        <w:rPr>
          <w:lang w:eastAsia="el-GR"/>
        </w:rPr>
        <w:t>των δύο ασθενειών</w:t>
      </w:r>
      <w:r w:rsidRPr="00D16256">
        <w:rPr>
          <w:lang w:eastAsia="el-GR"/>
        </w:rPr>
        <w:t xml:space="preserve">. Είναι σημαντικό να </w:t>
      </w:r>
      <w:r>
        <w:rPr>
          <w:lang w:eastAsia="el-GR"/>
        </w:rPr>
        <w:t>επιλεχθεί</w:t>
      </w:r>
      <w:r w:rsidRPr="00D16256">
        <w:rPr>
          <w:lang w:eastAsia="el-GR"/>
        </w:rPr>
        <w:t xml:space="preserve"> προσεκτικά μια κατάλληλη θεραπεία με βάση τη φύση της βλάβης και το </w:t>
      </w:r>
      <w:proofErr w:type="spellStart"/>
      <w:r w:rsidRPr="00D16256">
        <w:rPr>
          <w:lang w:eastAsia="el-GR"/>
        </w:rPr>
        <w:t>παθοφυσιολογικό</w:t>
      </w:r>
      <w:proofErr w:type="spellEnd"/>
      <w:r w:rsidRPr="00D16256">
        <w:rPr>
          <w:lang w:eastAsia="el-GR"/>
        </w:rPr>
        <w:t xml:space="preserve"> υπόβαθρο</w:t>
      </w:r>
      <w:r>
        <w:rPr>
          <w:lang w:eastAsia="el-GR"/>
        </w:rPr>
        <w:t xml:space="preserve"> του ασθενούς</w:t>
      </w:r>
      <w:r w:rsidRPr="00D16256">
        <w:rPr>
          <w:lang w:eastAsia="el-GR"/>
        </w:rPr>
        <w:t>.</w:t>
      </w:r>
    </w:p>
    <w:p w:rsidR="007756D1" w:rsidRDefault="007756D1" w:rsidP="007756D1">
      <w:pPr>
        <w:pStyle w:val="ac"/>
        <w:spacing w:after="120" w:line="360" w:lineRule="auto"/>
        <w:rPr>
          <w:rStyle w:val="tlid-translation"/>
        </w:rPr>
      </w:pPr>
      <w:r>
        <w:rPr>
          <w:rStyle w:val="tlid-translation"/>
        </w:rPr>
        <w:t xml:space="preserve">Τα άτομα με σκλήρυνση κατά πλάκας αποδίδουν μεγάλη σημασία στη συμμετοχή και στη σαφή επικοινωνία </w:t>
      </w:r>
      <w:proofErr w:type="spellStart"/>
      <w:r>
        <w:rPr>
          <w:rStyle w:val="tlid-translation"/>
        </w:rPr>
        <w:t>καθ</w:t>
      </w:r>
      <w:proofErr w:type="spellEnd"/>
      <w:r>
        <w:rPr>
          <w:rStyle w:val="tlid-translation"/>
        </w:rPr>
        <w:t xml:space="preserve"> 'όλη τη διάρκεια της διαγνωστικής διαδικασίας. Η διαγνωστική φάση έχει </w:t>
      </w:r>
      <w:proofErr w:type="spellStart"/>
      <w:r>
        <w:rPr>
          <w:rStyle w:val="tlid-translation"/>
        </w:rPr>
        <w:t>περιγραφεί</w:t>
      </w:r>
      <w:proofErr w:type="spellEnd"/>
      <w:r>
        <w:rPr>
          <w:rStyle w:val="tlid-translation"/>
        </w:rPr>
        <w:t xml:space="preserve"> ως περίοδος άγχους αναμονής. Ειδικότερα, η καθυστέρηση μεταξύ παρουσίασης συμπτωμάτων, διαγνωστικών εξετάσεων και λήψης αποτελεσμάτων δοκιμών </w:t>
      </w:r>
      <w:r>
        <w:rPr>
          <w:rStyle w:val="tlid-translation"/>
        </w:rPr>
        <w:lastRenderedPageBreak/>
        <w:t>είναι μια επαναλαμβανόμενη περιοχή παραπόνου. Άτομα με σκλήρυνση κατά πλάκας θέλουν μια σαφή ακριβή διάγνωση, πρόσβαση σε κατάλληλη υποστήριξη, πληροφόρηση και συνεχιζόμενη εκπαίδευση κατά τη στιγμή της διάγνωσης.</w:t>
      </w:r>
    </w:p>
    <w:p w:rsidR="006B746D" w:rsidRDefault="006B746D" w:rsidP="007756D1">
      <w:pPr>
        <w:pStyle w:val="ac"/>
        <w:spacing w:after="120" w:line="360" w:lineRule="auto"/>
        <w:rPr>
          <w:rStyle w:val="tlid-translation"/>
        </w:rPr>
      </w:pPr>
      <w:r>
        <w:rPr>
          <w:rStyle w:val="tlid-translation"/>
        </w:rPr>
        <w:t>Στην Ελλάδα, δεν έχει θεσπιστεί ειδική νομοθεσία σχετικά με τους ασθενείς που πάσχουν από σκλήρυνση κατά πλάκας και τις οικογένειές τους, γεγονός που καθιστά δύσκολο για αυτούς να αντιμετωπίσουν τις καθημερινές τους ανάγκες λόγω της νόσου τους. Στους ασθενείς και στα μέλη της οικογένειάς τους προτείνεται να παρέχεται μια ασφαλής εργασία ή ένα πρόσθετο επίδομα, το οποίο θα διασφαλίζει ότι θα μπορούσαν να καλύψουν τις καθημερινές τους ανάγκες, καθώς και τα ιατρικά έξοδά τους που δεν δύναται να καλυφθούν από τον οργανισμό κοινωνικής ασφάλισης.</w:t>
      </w:r>
    </w:p>
    <w:p w:rsidR="00E27D1A" w:rsidRDefault="006B746D" w:rsidP="007756D1">
      <w:pPr>
        <w:pStyle w:val="ac"/>
        <w:spacing w:after="120" w:line="360" w:lineRule="auto"/>
        <w:rPr>
          <w:rStyle w:val="tlid-translation"/>
        </w:rPr>
      </w:pPr>
      <w:r>
        <w:rPr>
          <w:rStyle w:val="tlid-translation"/>
        </w:rPr>
        <w:t>Οι περισσότεροι ασθενείς με σκλήρυνση κατά πλάκας εγκαταλείπουν τη δουλειά τους επειδή γίνονται σοβαρά άρρωστοι. Αυτό θα μπορούσε να είχε αποφευχθεί εάν είχαν την επιλογή μερικής απασχόλησης. Οι ευέλικτες ώρες εργασίας δεν είναι η μόνη παρέμβαση, καθώς υπάρχουν και άλλες προτάσεις, που εφαρμόζονται καλά στο εξωτερικό. Για παράδειγμα, οι εργοδότες και οι εργαζόμενοι πρέπει να ενημερώνονται για το πώς η ασθένεια επηρεάζει την ικανότητα των ασθενών</w:t>
      </w:r>
      <w:r w:rsidR="00E27D1A">
        <w:rPr>
          <w:rStyle w:val="tlid-translation"/>
        </w:rPr>
        <w:t>,</w:t>
      </w:r>
      <w:r>
        <w:rPr>
          <w:rStyle w:val="tlid-translation"/>
        </w:rPr>
        <w:t xml:space="preserve"> ii) μια συγκεκριμένη περιοχή ανάπαυσης για να ανακουφιστεί ώστε να συνεχίσουν να εργάζονται</w:t>
      </w:r>
      <w:r w:rsidR="00E27D1A">
        <w:rPr>
          <w:rStyle w:val="tlid-translation"/>
        </w:rPr>
        <w:t xml:space="preserve"> θα μπορούσε να προβλεφθεί σε εργασιακούς χώρους όπου θα μπορούσαν να εργαστούν και ασθενείς με πολλαπλή σκλήρυνση.</w:t>
      </w:r>
    </w:p>
    <w:p w:rsidR="00E27D1A" w:rsidRDefault="00E27D1A" w:rsidP="007756D1">
      <w:pPr>
        <w:pStyle w:val="ac"/>
        <w:spacing w:after="120" w:line="360" w:lineRule="auto"/>
        <w:rPr>
          <w:rStyle w:val="tlid-translation"/>
        </w:rPr>
      </w:pPr>
      <w:r>
        <w:rPr>
          <w:rStyle w:val="tlid-translation"/>
        </w:rPr>
        <w:t xml:space="preserve">Προτείνεται, επίσης, η οργάνωση </w:t>
      </w:r>
      <w:r w:rsidR="006B746D">
        <w:rPr>
          <w:rStyle w:val="tlid-translation"/>
        </w:rPr>
        <w:t>επιστημονικ</w:t>
      </w:r>
      <w:r>
        <w:rPr>
          <w:rStyle w:val="tlid-translation"/>
        </w:rPr>
        <w:t>ών</w:t>
      </w:r>
      <w:r w:rsidR="006B746D">
        <w:rPr>
          <w:rStyle w:val="tlid-translation"/>
        </w:rPr>
        <w:t xml:space="preserve"> ομάδ</w:t>
      </w:r>
      <w:r>
        <w:rPr>
          <w:rStyle w:val="tlid-translation"/>
        </w:rPr>
        <w:t>ων οι οποίες χρειάζεται</w:t>
      </w:r>
      <w:r w:rsidR="006B746D">
        <w:rPr>
          <w:rStyle w:val="tlid-translation"/>
        </w:rPr>
        <w:t xml:space="preserve"> να εργάζονται συνολικά για να επισημάνουν και να επιλύσουν προβλήματα που αφορούν ασθενείς με </w:t>
      </w:r>
      <w:r>
        <w:rPr>
          <w:rStyle w:val="tlid-translation"/>
        </w:rPr>
        <w:t xml:space="preserve">πολλαπλή </w:t>
      </w:r>
      <w:r w:rsidR="006B746D">
        <w:rPr>
          <w:rStyle w:val="tlid-translation"/>
        </w:rPr>
        <w:t>σκλήρυνση και τους φροντιστές τους. Αυτές οι υπηρεσίες πρέπει να παρέχονται δωρεάν από το Εθνικό Σύστημα Υγείας ή από τον οργανισμό κοινωνικής ασφάλισης.</w:t>
      </w:r>
      <w:r>
        <w:rPr>
          <w:rStyle w:val="tlid-translation"/>
        </w:rPr>
        <w:t xml:space="preserve"> </w:t>
      </w:r>
    </w:p>
    <w:p w:rsidR="006B746D" w:rsidRPr="00594468" w:rsidRDefault="006B746D" w:rsidP="007756D1">
      <w:pPr>
        <w:pStyle w:val="ac"/>
        <w:spacing w:after="120" w:line="360" w:lineRule="auto"/>
        <w:rPr>
          <w:lang w:eastAsia="el-GR"/>
        </w:rPr>
      </w:pPr>
      <w:r>
        <w:rPr>
          <w:rStyle w:val="tlid-translation"/>
        </w:rPr>
        <w:t xml:space="preserve">Συμπερασματικά, στην Ελλάδα, πρέπει να ενθαρρυνθεί η έρευνα σχετικά με το οικονομικό και κοινωνικό κόστος των </w:t>
      </w:r>
      <w:r w:rsidR="00E27D1A">
        <w:rPr>
          <w:rStyle w:val="tlid-translation"/>
        </w:rPr>
        <w:t>δύο νόσων της οπτικής νευρομυελίτιδας και της πολλαπλής σκλήρυνσης</w:t>
      </w:r>
      <w:r>
        <w:rPr>
          <w:rStyle w:val="tlid-translation"/>
        </w:rPr>
        <w:t>, διότι αυτό θα βοηθήσει στην αποκάλυψη της οικονομικής επιβάρυνσης για τους ασθενείς, καθώς και για τα μέλη της οικογένειάς τους, η οποία θα οδηγήσει στη λήψη των κατάλληλων μέτρων για τη στήριξή τους.</w:t>
      </w:r>
    </w:p>
    <w:p w:rsidR="00A50CA8" w:rsidRPr="00240DB6" w:rsidRDefault="00C3056B" w:rsidP="00A50CA8">
      <w:pPr>
        <w:pStyle w:val="1"/>
        <w:rPr>
          <w:lang w:eastAsia="el-GR"/>
        </w:rPr>
      </w:pPr>
      <w:r>
        <w:rPr>
          <w:lang w:eastAsia="el-GR"/>
        </w:rPr>
        <w:br w:type="page"/>
      </w:r>
      <w:bookmarkStart w:id="57" w:name="_Toc57241658"/>
      <w:r w:rsidR="00A50CA8">
        <w:rPr>
          <w:lang w:eastAsia="el-GR"/>
        </w:rPr>
        <w:lastRenderedPageBreak/>
        <w:t>ΒΙΒΛΙΟΓΡΑΦΙΑ</w:t>
      </w:r>
      <w:bookmarkEnd w:id="57"/>
    </w:p>
    <w:p w:rsidR="00240DB6" w:rsidRPr="00240DB6" w:rsidRDefault="00240DB6" w:rsidP="002D4FC9">
      <w:pPr>
        <w:rPr>
          <w:u w:val="single"/>
          <w:lang w:eastAsia="el-GR"/>
        </w:rPr>
      </w:pPr>
    </w:p>
    <w:p w:rsidR="002D4FC9" w:rsidRPr="00E32768" w:rsidRDefault="002D4FC9" w:rsidP="002D4FC9">
      <w:pPr>
        <w:rPr>
          <w:u w:val="single"/>
          <w:lang w:eastAsia="el-GR"/>
        </w:rPr>
      </w:pPr>
      <w:r w:rsidRPr="00E32768">
        <w:rPr>
          <w:u w:val="single"/>
          <w:lang w:eastAsia="el-GR"/>
        </w:rPr>
        <w:t>Ελληνική</w:t>
      </w:r>
    </w:p>
    <w:p w:rsidR="001D65A9" w:rsidRPr="006119DC" w:rsidRDefault="001D65A9" w:rsidP="006119DC">
      <w:pPr>
        <w:rPr>
          <w:lang w:eastAsia="el-GR"/>
        </w:rPr>
      </w:pPr>
      <w:proofErr w:type="spellStart"/>
      <w:r>
        <w:rPr>
          <w:lang w:eastAsia="el-GR"/>
        </w:rPr>
        <w:t>Αλατσαθιάνου</w:t>
      </w:r>
      <w:proofErr w:type="spellEnd"/>
      <w:r>
        <w:rPr>
          <w:lang w:eastAsia="el-GR"/>
        </w:rPr>
        <w:t xml:space="preserve">, </w:t>
      </w:r>
      <w:proofErr w:type="spellStart"/>
      <w:r>
        <w:rPr>
          <w:lang w:eastAsia="el-GR"/>
        </w:rPr>
        <w:t>Φλ</w:t>
      </w:r>
      <w:proofErr w:type="spellEnd"/>
      <w:r>
        <w:rPr>
          <w:lang w:eastAsia="el-GR"/>
        </w:rPr>
        <w:t xml:space="preserve">. &amp; Κωνσταντίνου, Δ. (2015). </w:t>
      </w:r>
      <w:r w:rsidRPr="006119DC">
        <w:rPr>
          <w:i/>
          <w:lang w:eastAsia="el-GR"/>
        </w:rPr>
        <w:t>Συστήματα παρακολούθησης, βασισμένα σε αισθητήρες, συμπτωμάτων ασθενών με σκλήρυνση κατά πλάκας</w:t>
      </w:r>
      <w:r>
        <w:rPr>
          <w:lang w:eastAsia="el-GR"/>
        </w:rPr>
        <w:t>. Διπλωματική Εργασία. Εθνικό Μετσόβιο Πανεπιστήμιο.</w:t>
      </w:r>
    </w:p>
    <w:p w:rsidR="001D65A9" w:rsidRPr="002F55FC" w:rsidRDefault="001D65A9" w:rsidP="001D65A9">
      <w:pPr>
        <w:rPr>
          <w:lang w:eastAsia="el-GR"/>
        </w:rPr>
      </w:pPr>
      <w:r w:rsidRPr="002F55FC">
        <w:rPr>
          <w:lang w:val="en-US" w:eastAsia="el-GR"/>
        </w:rPr>
        <w:t>Boron</w:t>
      </w:r>
      <w:r w:rsidRPr="001D65A9">
        <w:rPr>
          <w:lang w:val="en-US" w:eastAsia="el-GR"/>
        </w:rPr>
        <w:t xml:space="preserve">, </w:t>
      </w:r>
      <w:r>
        <w:rPr>
          <w:lang w:val="en-US" w:eastAsia="el-GR"/>
        </w:rPr>
        <w:t>W</w:t>
      </w:r>
      <w:r w:rsidRPr="001D65A9">
        <w:rPr>
          <w:lang w:val="en-US" w:eastAsia="el-GR"/>
        </w:rPr>
        <w:t>.</w:t>
      </w:r>
      <w:r>
        <w:rPr>
          <w:lang w:val="en-US" w:eastAsia="el-GR"/>
        </w:rPr>
        <w:t>F</w:t>
      </w:r>
      <w:r w:rsidRPr="001D65A9">
        <w:rPr>
          <w:lang w:val="en-US" w:eastAsia="el-GR"/>
        </w:rPr>
        <w:t xml:space="preserve">. &amp; </w:t>
      </w:r>
      <w:r w:rsidRPr="002F55FC">
        <w:rPr>
          <w:lang w:val="en-US" w:eastAsia="el-GR"/>
        </w:rPr>
        <w:t>Boulpaep</w:t>
      </w:r>
      <w:r w:rsidRPr="001D65A9">
        <w:rPr>
          <w:lang w:val="en-US" w:eastAsia="el-GR"/>
        </w:rPr>
        <w:t xml:space="preserve">, </w:t>
      </w:r>
      <w:r>
        <w:rPr>
          <w:lang w:val="en-US" w:eastAsia="el-GR"/>
        </w:rPr>
        <w:t>E</w:t>
      </w:r>
      <w:r w:rsidRPr="001D65A9">
        <w:rPr>
          <w:lang w:val="en-US" w:eastAsia="el-GR"/>
        </w:rPr>
        <w:t>.</w:t>
      </w:r>
      <w:r>
        <w:rPr>
          <w:lang w:val="en-US" w:eastAsia="el-GR"/>
        </w:rPr>
        <w:t>L</w:t>
      </w:r>
      <w:r w:rsidRPr="001D65A9">
        <w:rPr>
          <w:lang w:val="en-US" w:eastAsia="el-GR"/>
        </w:rPr>
        <w:t xml:space="preserve">. (2006). </w:t>
      </w:r>
      <w:r w:rsidRPr="002F55FC">
        <w:rPr>
          <w:i/>
          <w:lang w:eastAsia="el-GR"/>
        </w:rPr>
        <w:t>Ιατρική Φυσιολογία</w:t>
      </w:r>
      <w:r w:rsidRPr="002F55FC">
        <w:rPr>
          <w:lang w:eastAsia="el-GR"/>
        </w:rPr>
        <w:t xml:space="preserve">. (Επιμέλεια: </w:t>
      </w:r>
      <w:proofErr w:type="spellStart"/>
      <w:r w:rsidRPr="002F55FC">
        <w:rPr>
          <w:lang w:eastAsia="el-GR"/>
        </w:rPr>
        <w:t>Κουτσιλιέρης</w:t>
      </w:r>
      <w:proofErr w:type="spellEnd"/>
      <w:r w:rsidRPr="002F55FC">
        <w:rPr>
          <w:lang w:eastAsia="el-GR"/>
        </w:rPr>
        <w:t xml:space="preserve"> Μ</w:t>
      </w:r>
      <w:r>
        <w:rPr>
          <w:lang w:eastAsia="el-GR"/>
        </w:rPr>
        <w:t>.</w:t>
      </w:r>
      <w:r w:rsidRPr="00240DB6">
        <w:rPr>
          <w:lang w:eastAsia="el-GR"/>
        </w:rPr>
        <w:t>)</w:t>
      </w:r>
      <w:r w:rsidRPr="002F55FC">
        <w:rPr>
          <w:lang w:eastAsia="el-GR"/>
        </w:rPr>
        <w:t xml:space="preserve">. Αθήνα: Ιατρικές Εκδόσεις Πασχαλίδης. </w:t>
      </w:r>
    </w:p>
    <w:p w:rsidR="001D65A9" w:rsidRPr="00240DB6" w:rsidRDefault="001D65A9" w:rsidP="009D39AD">
      <w:pPr>
        <w:rPr>
          <w:lang w:eastAsia="el-GR"/>
        </w:rPr>
      </w:pPr>
      <w:proofErr w:type="spellStart"/>
      <w:r>
        <w:rPr>
          <w:lang w:eastAsia="el-GR"/>
        </w:rPr>
        <w:t>Γεωργάρας</w:t>
      </w:r>
      <w:proofErr w:type="spellEnd"/>
      <w:r>
        <w:rPr>
          <w:lang w:eastAsia="el-GR"/>
        </w:rPr>
        <w:t xml:space="preserve"> Α. &amp;</w:t>
      </w:r>
      <w:r w:rsidRPr="009D39AD">
        <w:rPr>
          <w:lang w:eastAsia="el-GR"/>
        </w:rPr>
        <w:t xml:space="preserve"> Μαλτέζου Μ.</w:t>
      </w:r>
      <w:r>
        <w:rPr>
          <w:lang w:eastAsia="el-GR"/>
        </w:rPr>
        <w:t xml:space="preserve"> (</w:t>
      </w:r>
      <w:r w:rsidRPr="009D39AD">
        <w:rPr>
          <w:lang w:eastAsia="el-GR"/>
        </w:rPr>
        <w:t>2003</w:t>
      </w:r>
      <w:r>
        <w:rPr>
          <w:lang w:eastAsia="el-GR"/>
        </w:rPr>
        <w:t>)</w:t>
      </w:r>
      <w:r w:rsidRPr="009D39AD">
        <w:rPr>
          <w:lang w:eastAsia="el-GR"/>
        </w:rPr>
        <w:t xml:space="preserve">. </w:t>
      </w:r>
      <w:r w:rsidRPr="009D39AD">
        <w:rPr>
          <w:i/>
          <w:lang w:eastAsia="el-GR"/>
        </w:rPr>
        <w:t>Νευρολογία</w:t>
      </w:r>
      <w:r w:rsidRPr="009D39AD">
        <w:rPr>
          <w:lang w:eastAsia="el-GR"/>
        </w:rPr>
        <w:t xml:space="preserve">. Αθήνα: Ιατρικές Εκδόσεις Πασχαλίδης. </w:t>
      </w:r>
    </w:p>
    <w:p w:rsidR="001D65A9" w:rsidRDefault="001D65A9" w:rsidP="00F24D2F">
      <w:pPr>
        <w:rPr>
          <w:lang w:eastAsia="el-GR"/>
        </w:rPr>
      </w:pPr>
      <w:r w:rsidRPr="00F24D2F">
        <w:rPr>
          <w:lang w:eastAsia="el-GR"/>
        </w:rPr>
        <w:t>Γεωργίου Α.</w:t>
      </w:r>
      <w:r w:rsidRPr="00240DB6">
        <w:rPr>
          <w:lang w:eastAsia="el-GR"/>
        </w:rPr>
        <w:t xml:space="preserve"> &amp;</w:t>
      </w:r>
      <w:r w:rsidRPr="00F24D2F">
        <w:rPr>
          <w:lang w:eastAsia="el-GR"/>
        </w:rPr>
        <w:t xml:space="preserve"> </w:t>
      </w:r>
      <w:proofErr w:type="spellStart"/>
      <w:r w:rsidRPr="00F24D2F">
        <w:rPr>
          <w:lang w:eastAsia="el-GR"/>
        </w:rPr>
        <w:t>Λέγουρα</w:t>
      </w:r>
      <w:proofErr w:type="spellEnd"/>
      <w:r w:rsidRPr="00F24D2F">
        <w:rPr>
          <w:lang w:eastAsia="el-GR"/>
        </w:rPr>
        <w:t xml:space="preserve"> Μ., 2001. </w:t>
      </w:r>
      <w:r w:rsidRPr="00F24D2F">
        <w:rPr>
          <w:i/>
          <w:lang w:eastAsia="el-GR"/>
        </w:rPr>
        <w:t>Σκλήρυνση κατά Πλάκας</w:t>
      </w:r>
      <w:r w:rsidRPr="00F24D2F">
        <w:rPr>
          <w:lang w:eastAsia="el-GR"/>
        </w:rPr>
        <w:t xml:space="preserve"> ( Παπαδημητρίου Μ.). Πάτρα</w:t>
      </w:r>
      <w:r w:rsidRPr="00240DB6">
        <w:rPr>
          <w:lang w:eastAsia="el-GR"/>
        </w:rPr>
        <w:t xml:space="preserve">. </w:t>
      </w:r>
    </w:p>
    <w:p w:rsidR="001D65A9" w:rsidRPr="001D65A9" w:rsidRDefault="001D65A9" w:rsidP="001D65A9">
      <w:pPr>
        <w:rPr>
          <w:lang w:val="en-US" w:eastAsia="el-GR"/>
        </w:rPr>
      </w:pPr>
      <w:r w:rsidRPr="00DC0B14">
        <w:rPr>
          <w:lang w:val="en-US" w:eastAsia="el-GR"/>
        </w:rPr>
        <w:t>Drake</w:t>
      </w:r>
      <w:r w:rsidRPr="001D65A9">
        <w:rPr>
          <w:lang w:val="en-US" w:eastAsia="el-GR"/>
        </w:rPr>
        <w:t xml:space="preserve">, </w:t>
      </w:r>
      <w:r w:rsidRPr="00DC0B14">
        <w:rPr>
          <w:lang w:val="en-US" w:eastAsia="el-GR"/>
        </w:rPr>
        <w:t>R</w:t>
      </w:r>
      <w:r w:rsidRPr="001D65A9">
        <w:rPr>
          <w:lang w:val="en-US" w:eastAsia="el-GR"/>
        </w:rPr>
        <w:t>.</w:t>
      </w:r>
      <w:r w:rsidRPr="00DC0B14">
        <w:rPr>
          <w:lang w:val="en-US" w:eastAsia="el-GR"/>
        </w:rPr>
        <w:t>L</w:t>
      </w:r>
      <w:r w:rsidRPr="001D65A9">
        <w:rPr>
          <w:lang w:val="en-US" w:eastAsia="el-GR"/>
        </w:rPr>
        <w:t xml:space="preserve">., </w:t>
      </w:r>
      <w:r w:rsidRPr="00DC0B14">
        <w:rPr>
          <w:lang w:val="en-US" w:eastAsia="el-GR"/>
        </w:rPr>
        <w:t>Vogl</w:t>
      </w:r>
      <w:r w:rsidRPr="001D65A9">
        <w:rPr>
          <w:lang w:val="en-US" w:eastAsia="el-GR"/>
        </w:rPr>
        <w:t xml:space="preserve">, </w:t>
      </w:r>
      <w:r w:rsidRPr="00DC0B14">
        <w:rPr>
          <w:lang w:val="en-US" w:eastAsia="el-GR"/>
        </w:rPr>
        <w:t>W</w:t>
      </w:r>
      <w:r w:rsidRPr="001D65A9">
        <w:rPr>
          <w:lang w:val="en-US" w:eastAsia="el-GR"/>
        </w:rPr>
        <w:t xml:space="preserve">. &amp; </w:t>
      </w:r>
      <w:r w:rsidRPr="00DC0B14">
        <w:rPr>
          <w:lang w:val="en-US" w:eastAsia="el-GR"/>
        </w:rPr>
        <w:t>Mitchell</w:t>
      </w:r>
      <w:r w:rsidRPr="001D65A9">
        <w:rPr>
          <w:lang w:val="en-US" w:eastAsia="el-GR"/>
        </w:rPr>
        <w:t xml:space="preserve">, </w:t>
      </w:r>
      <w:r w:rsidRPr="00DC0B14">
        <w:rPr>
          <w:lang w:val="en-US" w:eastAsia="el-GR"/>
        </w:rPr>
        <w:t>A</w:t>
      </w:r>
      <w:r w:rsidRPr="001D65A9">
        <w:rPr>
          <w:lang w:val="en-US" w:eastAsia="el-GR"/>
        </w:rPr>
        <w:t>.</w:t>
      </w:r>
      <w:r w:rsidRPr="00DC0B14">
        <w:rPr>
          <w:lang w:val="en-US" w:eastAsia="el-GR"/>
        </w:rPr>
        <w:t>W</w:t>
      </w:r>
      <w:r w:rsidRPr="001D65A9">
        <w:rPr>
          <w:lang w:val="en-US" w:eastAsia="el-GR"/>
        </w:rPr>
        <w:t>.</w:t>
      </w:r>
      <w:r w:rsidRPr="00DC0B14">
        <w:rPr>
          <w:lang w:val="en-US" w:eastAsia="el-GR"/>
        </w:rPr>
        <w:t>M</w:t>
      </w:r>
      <w:r w:rsidRPr="001D65A9">
        <w:rPr>
          <w:lang w:val="en-US" w:eastAsia="el-GR"/>
        </w:rPr>
        <w:t xml:space="preserve">. (2005). </w:t>
      </w:r>
      <w:r w:rsidRPr="00DC0B14">
        <w:rPr>
          <w:lang w:val="en-US" w:eastAsia="el-GR"/>
        </w:rPr>
        <w:t>Grays</w:t>
      </w:r>
      <w:r w:rsidRPr="001D65A9">
        <w:rPr>
          <w:lang w:val="en-US" w:eastAsia="el-GR"/>
        </w:rPr>
        <w:t xml:space="preserve"> </w:t>
      </w:r>
      <w:r w:rsidRPr="00DC0B14">
        <w:rPr>
          <w:lang w:val="en-US" w:eastAsia="el-GR"/>
        </w:rPr>
        <w:t>Anatomy</w:t>
      </w:r>
      <w:r w:rsidRPr="001D65A9">
        <w:rPr>
          <w:lang w:val="en-US" w:eastAsia="el-GR"/>
        </w:rPr>
        <w:t xml:space="preserve"> (</w:t>
      </w:r>
      <w:proofErr w:type="spellStart"/>
      <w:r>
        <w:rPr>
          <w:lang w:eastAsia="el-GR"/>
        </w:rPr>
        <w:t>μτφρ</w:t>
      </w:r>
      <w:proofErr w:type="spellEnd"/>
      <w:r w:rsidRPr="001D65A9">
        <w:rPr>
          <w:lang w:val="en-US" w:eastAsia="el-GR"/>
        </w:rPr>
        <w:t xml:space="preserve">.: </w:t>
      </w:r>
      <w:r w:rsidRPr="00DC0B14">
        <w:rPr>
          <w:lang w:eastAsia="el-GR"/>
        </w:rPr>
        <w:t>Σκανδαλάκης</w:t>
      </w:r>
      <w:r w:rsidRPr="001D65A9">
        <w:rPr>
          <w:lang w:val="en-US" w:eastAsia="el-GR"/>
        </w:rPr>
        <w:t xml:space="preserve">, </w:t>
      </w:r>
      <w:r w:rsidRPr="00DC0B14">
        <w:rPr>
          <w:lang w:eastAsia="el-GR"/>
        </w:rPr>
        <w:t>Ν</w:t>
      </w:r>
      <w:r w:rsidRPr="001D65A9">
        <w:rPr>
          <w:lang w:val="en-US" w:eastAsia="el-GR"/>
        </w:rPr>
        <w:t>.</w:t>
      </w:r>
      <w:r w:rsidRPr="00DC0B14">
        <w:rPr>
          <w:lang w:eastAsia="el-GR"/>
        </w:rPr>
        <w:t>Π</w:t>
      </w:r>
      <w:r w:rsidRPr="001D65A9">
        <w:rPr>
          <w:lang w:val="en-US" w:eastAsia="el-GR"/>
        </w:rPr>
        <w:t xml:space="preserve">.). </w:t>
      </w:r>
      <w:r w:rsidRPr="00DC0B14">
        <w:rPr>
          <w:lang w:eastAsia="el-GR"/>
        </w:rPr>
        <w:t>Αθήνα</w:t>
      </w:r>
      <w:r w:rsidRPr="001D65A9">
        <w:rPr>
          <w:lang w:val="en-US" w:eastAsia="el-GR"/>
        </w:rPr>
        <w:t xml:space="preserve">: </w:t>
      </w:r>
      <w:r w:rsidRPr="00DC0B14">
        <w:rPr>
          <w:lang w:eastAsia="el-GR"/>
        </w:rPr>
        <w:t>Ιατρικές</w:t>
      </w:r>
      <w:r w:rsidRPr="001D65A9">
        <w:rPr>
          <w:lang w:val="en-US" w:eastAsia="el-GR"/>
        </w:rPr>
        <w:t xml:space="preserve"> </w:t>
      </w:r>
      <w:r w:rsidRPr="00DC0B14">
        <w:rPr>
          <w:lang w:eastAsia="el-GR"/>
        </w:rPr>
        <w:t>Εκδόσεις</w:t>
      </w:r>
      <w:r w:rsidRPr="001D65A9">
        <w:rPr>
          <w:lang w:val="en-US" w:eastAsia="el-GR"/>
        </w:rPr>
        <w:t xml:space="preserve"> </w:t>
      </w:r>
      <w:r w:rsidRPr="00DC0B14">
        <w:rPr>
          <w:lang w:eastAsia="el-GR"/>
        </w:rPr>
        <w:t>Π</w:t>
      </w:r>
      <w:r w:rsidRPr="001D65A9">
        <w:rPr>
          <w:lang w:val="en-US" w:eastAsia="el-GR"/>
        </w:rPr>
        <w:t>.</w:t>
      </w:r>
      <w:r w:rsidRPr="00DC0B14">
        <w:rPr>
          <w:lang w:eastAsia="el-GR"/>
        </w:rPr>
        <w:t>Χ</w:t>
      </w:r>
      <w:r w:rsidRPr="001D65A9">
        <w:rPr>
          <w:lang w:val="en-US" w:eastAsia="el-GR"/>
        </w:rPr>
        <w:t xml:space="preserve">. </w:t>
      </w:r>
      <w:r w:rsidRPr="00DC0B14">
        <w:rPr>
          <w:lang w:eastAsia="el-GR"/>
        </w:rPr>
        <w:t>Πασχαλίδης</w:t>
      </w:r>
      <w:r w:rsidRPr="001D65A9">
        <w:rPr>
          <w:lang w:val="en-US" w:eastAsia="el-GR"/>
        </w:rPr>
        <w:t xml:space="preserve">. </w:t>
      </w:r>
    </w:p>
    <w:p w:rsidR="001D65A9" w:rsidRPr="002F55FC" w:rsidRDefault="001D65A9" w:rsidP="001D65A9">
      <w:pPr>
        <w:rPr>
          <w:lang w:eastAsia="el-GR"/>
        </w:rPr>
      </w:pPr>
      <w:r w:rsidRPr="002F55FC">
        <w:rPr>
          <w:lang w:val="en-US" w:eastAsia="el-GR"/>
        </w:rPr>
        <w:t>Hansen</w:t>
      </w:r>
      <w:r w:rsidRPr="001D65A9">
        <w:rPr>
          <w:lang w:val="en-US" w:eastAsia="el-GR"/>
        </w:rPr>
        <w:t xml:space="preserve">, </w:t>
      </w:r>
      <w:r w:rsidRPr="002F55FC">
        <w:rPr>
          <w:lang w:val="en-US" w:eastAsia="el-GR"/>
        </w:rPr>
        <w:t>T</w:t>
      </w:r>
      <w:r w:rsidRPr="001D65A9">
        <w:rPr>
          <w:lang w:val="en-US" w:eastAsia="el-GR"/>
        </w:rPr>
        <w:t xml:space="preserve">. </w:t>
      </w:r>
      <w:r w:rsidRPr="002F55FC">
        <w:rPr>
          <w:lang w:val="en-US" w:eastAsia="el-GR"/>
        </w:rPr>
        <w:t>J</w:t>
      </w:r>
      <w:r w:rsidRPr="001D65A9">
        <w:rPr>
          <w:lang w:val="en-US" w:eastAsia="el-GR"/>
        </w:rPr>
        <w:t xml:space="preserve">. &amp; </w:t>
      </w:r>
      <w:r w:rsidRPr="002F55FC">
        <w:rPr>
          <w:lang w:val="en-US" w:eastAsia="el-GR"/>
        </w:rPr>
        <w:t>Koeppen</w:t>
      </w:r>
      <w:r w:rsidRPr="001D65A9">
        <w:rPr>
          <w:lang w:val="en-US" w:eastAsia="el-GR"/>
        </w:rPr>
        <w:t xml:space="preserve">, </w:t>
      </w:r>
      <w:r>
        <w:rPr>
          <w:lang w:val="en-US" w:eastAsia="el-GR"/>
        </w:rPr>
        <w:t>M</w:t>
      </w:r>
      <w:r w:rsidRPr="001D65A9">
        <w:rPr>
          <w:lang w:val="en-US" w:eastAsia="el-GR"/>
        </w:rPr>
        <w:t>.</w:t>
      </w:r>
      <w:r>
        <w:rPr>
          <w:lang w:val="en-US" w:eastAsia="el-GR"/>
        </w:rPr>
        <w:t>B</w:t>
      </w:r>
      <w:r w:rsidRPr="001D65A9">
        <w:rPr>
          <w:lang w:val="en-US" w:eastAsia="el-GR"/>
        </w:rPr>
        <w:t xml:space="preserve">. (2002). </w:t>
      </w:r>
      <w:r w:rsidRPr="002F55FC">
        <w:rPr>
          <w:lang w:eastAsia="el-GR"/>
        </w:rPr>
        <w:t>Φυσιολογία του Ανθρώπου: Άτλας Βασικών Ιατρικών Επιστημών. (</w:t>
      </w:r>
      <w:proofErr w:type="spellStart"/>
      <w:r>
        <w:rPr>
          <w:lang w:eastAsia="el-GR"/>
        </w:rPr>
        <w:t>μτφρ</w:t>
      </w:r>
      <w:proofErr w:type="spellEnd"/>
      <w:r>
        <w:rPr>
          <w:lang w:eastAsia="el-GR"/>
        </w:rPr>
        <w:t>.:</w:t>
      </w:r>
      <w:r w:rsidRPr="002F55FC">
        <w:rPr>
          <w:lang w:eastAsia="el-GR"/>
        </w:rPr>
        <w:t xml:space="preserve"> </w:t>
      </w:r>
      <w:proofErr w:type="spellStart"/>
      <w:r w:rsidRPr="002F55FC">
        <w:rPr>
          <w:lang w:eastAsia="el-GR"/>
        </w:rPr>
        <w:t>Παραμυθιώτου</w:t>
      </w:r>
      <w:proofErr w:type="spellEnd"/>
      <w:r w:rsidRPr="002F55FC">
        <w:rPr>
          <w:lang w:eastAsia="el-GR"/>
        </w:rPr>
        <w:t xml:space="preserve"> Ε.</w:t>
      </w:r>
      <w:r>
        <w:rPr>
          <w:lang w:eastAsia="el-GR"/>
        </w:rPr>
        <w:t>).</w:t>
      </w:r>
      <w:r w:rsidRPr="002F55FC">
        <w:rPr>
          <w:lang w:eastAsia="el-GR"/>
        </w:rPr>
        <w:t xml:space="preserve"> Αθήνα: Ιατρικές Εκδόσεις Π.Χ. Πασχαλίδης. </w:t>
      </w:r>
    </w:p>
    <w:p w:rsidR="001D65A9" w:rsidRPr="004841F1" w:rsidRDefault="001D65A9" w:rsidP="001D65A9">
      <w:pPr>
        <w:jc w:val="left"/>
        <w:rPr>
          <w:lang w:eastAsia="el-GR"/>
        </w:rPr>
      </w:pPr>
      <w:r w:rsidRPr="004841F1">
        <w:rPr>
          <w:lang w:val="en-US" w:eastAsia="el-GR"/>
        </w:rPr>
        <w:t>Iraj</w:t>
      </w:r>
      <w:r w:rsidRPr="001D65A9">
        <w:rPr>
          <w:lang w:val="en-US" w:eastAsia="el-GR"/>
        </w:rPr>
        <w:t xml:space="preserve">, </w:t>
      </w:r>
      <w:r w:rsidRPr="004841F1">
        <w:rPr>
          <w:lang w:val="en-US" w:eastAsia="el-GR"/>
        </w:rPr>
        <w:t>C</w:t>
      </w:r>
      <w:r w:rsidRPr="001D65A9">
        <w:rPr>
          <w:lang w:val="en-US" w:eastAsia="el-GR"/>
        </w:rPr>
        <w:t xml:space="preserve">., </w:t>
      </w:r>
      <w:r w:rsidRPr="004841F1">
        <w:rPr>
          <w:lang w:val="en-US" w:eastAsia="el-GR"/>
        </w:rPr>
        <w:t>Jeffrey</w:t>
      </w:r>
      <w:r w:rsidRPr="001D65A9">
        <w:rPr>
          <w:lang w:val="en-US" w:eastAsia="el-GR"/>
        </w:rPr>
        <w:t xml:space="preserve">, </w:t>
      </w:r>
      <w:r w:rsidRPr="004841F1">
        <w:rPr>
          <w:lang w:val="en-US" w:eastAsia="el-GR"/>
        </w:rPr>
        <w:t>E</w:t>
      </w:r>
      <w:r w:rsidRPr="001D65A9">
        <w:rPr>
          <w:lang w:val="en-US" w:eastAsia="el-GR"/>
        </w:rPr>
        <w:t xml:space="preserve">. &amp; </w:t>
      </w:r>
      <w:r w:rsidRPr="004841F1">
        <w:rPr>
          <w:lang w:val="en-US" w:eastAsia="el-GR"/>
        </w:rPr>
        <w:t>Zacharys</w:t>
      </w:r>
      <w:r w:rsidRPr="001D65A9">
        <w:rPr>
          <w:lang w:val="en-US" w:eastAsia="el-GR"/>
        </w:rPr>
        <w:t xml:space="preserve">, </w:t>
      </w:r>
      <w:r w:rsidRPr="004841F1">
        <w:rPr>
          <w:lang w:val="en-US" w:eastAsia="el-GR"/>
        </w:rPr>
        <w:t>F</w:t>
      </w:r>
      <w:r w:rsidRPr="001D65A9">
        <w:rPr>
          <w:lang w:val="en-US" w:eastAsia="el-GR"/>
        </w:rPr>
        <w:t xml:space="preserve">. (1995). </w:t>
      </w:r>
      <w:r w:rsidRPr="004841F1">
        <w:rPr>
          <w:i/>
          <w:lang w:eastAsia="el-GR"/>
        </w:rPr>
        <w:t>Νέος οικογενειακός Ιατρικός Οδηγός</w:t>
      </w:r>
      <w:r>
        <w:rPr>
          <w:i/>
          <w:lang w:eastAsia="el-GR"/>
        </w:rPr>
        <w:t>, (</w:t>
      </w:r>
      <w:r w:rsidRPr="004841F1">
        <w:rPr>
          <w:i/>
          <w:lang w:eastAsia="el-GR"/>
        </w:rPr>
        <w:t>Τόμος 1</w:t>
      </w:r>
      <w:r>
        <w:rPr>
          <w:i/>
          <w:lang w:eastAsia="el-GR"/>
        </w:rPr>
        <w:t>)</w:t>
      </w:r>
      <w:r w:rsidRPr="004841F1">
        <w:rPr>
          <w:lang w:eastAsia="el-GR"/>
        </w:rPr>
        <w:t xml:space="preserve">. Αθήνα. </w:t>
      </w:r>
    </w:p>
    <w:p w:rsidR="001D65A9" w:rsidRPr="000070ED" w:rsidRDefault="001D65A9" w:rsidP="001D65A9">
      <w:pPr>
        <w:jc w:val="left"/>
        <w:rPr>
          <w:lang w:eastAsia="el-GR"/>
        </w:rPr>
      </w:pPr>
      <w:proofErr w:type="spellStart"/>
      <w:r w:rsidRPr="000070ED">
        <w:rPr>
          <w:lang w:eastAsia="el-GR"/>
        </w:rPr>
        <w:t>Lorraine</w:t>
      </w:r>
      <w:proofErr w:type="spellEnd"/>
      <w:r w:rsidRPr="000070ED">
        <w:rPr>
          <w:lang w:eastAsia="el-GR"/>
        </w:rPr>
        <w:t xml:space="preserve"> de </w:t>
      </w:r>
      <w:proofErr w:type="spellStart"/>
      <w:r w:rsidRPr="000070ED">
        <w:rPr>
          <w:lang w:eastAsia="el-GR"/>
        </w:rPr>
        <w:t>Souza</w:t>
      </w:r>
      <w:proofErr w:type="spellEnd"/>
      <w:r w:rsidRPr="000070ED">
        <w:rPr>
          <w:lang w:eastAsia="el-GR"/>
        </w:rPr>
        <w:t xml:space="preserve">, </w:t>
      </w:r>
      <w:r w:rsidRPr="00240DB6">
        <w:rPr>
          <w:lang w:eastAsia="el-GR"/>
        </w:rPr>
        <w:t>(</w:t>
      </w:r>
      <w:r w:rsidRPr="000070ED">
        <w:rPr>
          <w:lang w:eastAsia="el-GR"/>
        </w:rPr>
        <w:t>1997</w:t>
      </w:r>
      <w:r w:rsidRPr="00240DB6">
        <w:rPr>
          <w:lang w:eastAsia="el-GR"/>
        </w:rPr>
        <w:t>)</w:t>
      </w:r>
      <w:r w:rsidRPr="000070ED">
        <w:rPr>
          <w:lang w:eastAsia="el-GR"/>
        </w:rPr>
        <w:t xml:space="preserve">. </w:t>
      </w:r>
      <w:r w:rsidRPr="000070ED">
        <w:rPr>
          <w:i/>
          <w:lang w:eastAsia="el-GR"/>
        </w:rPr>
        <w:t>Θεραπευτική Προσέγγιση στη Σκλήρυνση κατά Πλάκας</w:t>
      </w:r>
      <w:r w:rsidRPr="000070ED">
        <w:rPr>
          <w:lang w:eastAsia="el-GR"/>
        </w:rPr>
        <w:t xml:space="preserve">. Αθήνα: Εκδόσεις “Έλλην”. </w:t>
      </w:r>
    </w:p>
    <w:p w:rsidR="001D65A9" w:rsidRDefault="001D65A9" w:rsidP="001D65A9">
      <w:pPr>
        <w:jc w:val="left"/>
        <w:rPr>
          <w:lang w:eastAsia="el-GR"/>
        </w:rPr>
      </w:pPr>
      <w:r>
        <w:rPr>
          <w:lang w:val="en-US" w:eastAsia="el-GR"/>
        </w:rPr>
        <w:t>Marsden</w:t>
      </w:r>
      <w:r w:rsidRPr="00DD5088">
        <w:rPr>
          <w:lang w:eastAsia="el-GR"/>
        </w:rPr>
        <w:t xml:space="preserve">, </w:t>
      </w:r>
      <w:r>
        <w:rPr>
          <w:lang w:val="en-US" w:eastAsia="el-GR"/>
        </w:rPr>
        <w:t>D</w:t>
      </w:r>
      <w:r w:rsidRPr="00DD5088">
        <w:rPr>
          <w:lang w:eastAsia="el-GR"/>
        </w:rPr>
        <w:t xml:space="preserve">. &amp; </w:t>
      </w:r>
      <w:r>
        <w:rPr>
          <w:lang w:val="en-US" w:eastAsia="el-GR"/>
        </w:rPr>
        <w:t>Fowler</w:t>
      </w:r>
      <w:r w:rsidRPr="00DD5088">
        <w:rPr>
          <w:lang w:eastAsia="el-GR"/>
        </w:rPr>
        <w:t xml:space="preserve">, </w:t>
      </w:r>
      <w:r>
        <w:rPr>
          <w:lang w:val="en-US" w:eastAsia="el-GR"/>
        </w:rPr>
        <w:t>T</w:t>
      </w:r>
      <w:r w:rsidRPr="00DD5088">
        <w:rPr>
          <w:lang w:eastAsia="el-GR"/>
        </w:rPr>
        <w:t xml:space="preserve">. (2001). </w:t>
      </w:r>
      <w:r w:rsidRPr="00DD5088">
        <w:rPr>
          <w:i/>
          <w:lang w:eastAsia="el-GR"/>
        </w:rPr>
        <w:t>Κλινική Νευρολογία</w:t>
      </w:r>
      <w:r>
        <w:rPr>
          <w:lang w:eastAsia="el-GR"/>
        </w:rPr>
        <w:t>. (</w:t>
      </w:r>
      <w:proofErr w:type="spellStart"/>
      <w:r>
        <w:rPr>
          <w:lang w:eastAsia="el-GR"/>
        </w:rPr>
        <w:t>μτφρ</w:t>
      </w:r>
      <w:proofErr w:type="spellEnd"/>
      <w:r>
        <w:rPr>
          <w:lang w:eastAsia="el-GR"/>
        </w:rPr>
        <w:t xml:space="preserve">.: Πασχάλης, Χ., </w:t>
      </w:r>
      <w:proofErr w:type="spellStart"/>
      <w:r>
        <w:rPr>
          <w:lang w:eastAsia="el-GR"/>
        </w:rPr>
        <w:t>Μαραζιώτης</w:t>
      </w:r>
      <w:proofErr w:type="spellEnd"/>
      <w:r>
        <w:rPr>
          <w:lang w:eastAsia="el-GR"/>
        </w:rPr>
        <w:t>, Θ. &amp; Παπαθανασόπουλος, Π.). Αθήνα: Λίτσας Ιατρικές Εκδόσεις</w:t>
      </w:r>
    </w:p>
    <w:p w:rsidR="001D65A9" w:rsidRDefault="001D65A9" w:rsidP="001D65A9">
      <w:pPr>
        <w:rPr>
          <w:szCs w:val="24"/>
        </w:rPr>
      </w:pPr>
      <w:proofErr w:type="spellStart"/>
      <w:r>
        <w:rPr>
          <w:szCs w:val="24"/>
        </w:rPr>
        <w:t>Μητσικώστας</w:t>
      </w:r>
      <w:proofErr w:type="spellEnd"/>
      <w:r>
        <w:rPr>
          <w:szCs w:val="24"/>
        </w:rPr>
        <w:t xml:space="preserve">, Δ. (2015). Διαχείριση προβλημάτων ασθενών με πολλαπλή σκλήρυνση. </w:t>
      </w:r>
      <w:r>
        <w:rPr>
          <w:i/>
          <w:szCs w:val="24"/>
        </w:rPr>
        <w:t>Επικοινωνούμε, 36</w:t>
      </w:r>
      <w:r>
        <w:rPr>
          <w:szCs w:val="24"/>
        </w:rPr>
        <w:t>, 8-9.</w:t>
      </w:r>
      <w:r w:rsidRPr="001D65A9">
        <w:rPr>
          <w:szCs w:val="24"/>
          <w:lang w:val="en-US"/>
        </w:rPr>
        <w:t xml:space="preserve"> </w:t>
      </w:r>
    </w:p>
    <w:p w:rsidR="001D65A9" w:rsidRPr="00B160F7" w:rsidRDefault="001D65A9" w:rsidP="001D65A9">
      <w:pPr>
        <w:rPr>
          <w:szCs w:val="24"/>
        </w:rPr>
      </w:pPr>
      <w:r>
        <w:rPr>
          <w:szCs w:val="24"/>
          <w:lang w:val="en-US"/>
        </w:rPr>
        <w:t>Murray</w:t>
      </w:r>
      <w:r w:rsidRPr="0071152E">
        <w:rPr>
          <w:szCs w:val="24"/>
        </w:rPr>
        <w:t xml:space="preserve">, </w:t>
      </w:r>
      <w:r>
        <w:rPr>
          <w:szCs w:val="24"/>
          <w:lang w:val="en-US"/>
        </w:rPr>
        <w:t>T</w:t>
      </w:r>
      <w:r w:rsidRPr="0071152E">
        <w:rPr>
          <w:szCs w:val="24"/>
        </w:rPr>
        <w:t>.</w:t>
      </w:r>
      <w:r>
        <w:rPr>
          <w:szCs w:val="24"/>
          <w:lang w:val="en-US"/>
        </w:rPr>
        <w:t>J</w:t>
      </w:r>
      <w:r w:rsidRPr="0071152E">
        <w:rPr>
          <w:szCs w:val="24"/>
        </w:rPr>
        <w:t>. (2006). Διάγνωση και Θεραπεία της σκλήρυνσης κατά πλάκας. (</w:t>
      </w:r>
      <w:proofErr w:type="spellStart"/>
      <w:r w:rsidRPr="0071152E">
        <w:rPr>
          <w:szCs w:val="24"/>
        </w:rPr>
        <w:t>μτφρ</w:t>
      </w:r>
      <w:proofErr w:type="spellEnd"/>
      <w:r w:rsidRPr="0071152E">
        <w:rPr>
          <w:szCs w:val="24"/>
        </w:rPr>
        <w:t xml:space="preserve">. </w:t>
      </w:r>
      <w:proofErr w:type="spellStart"/>
      <w:r w:rsidRPr="0071152E">
        <w:rPr>
          <w:szCs w:val="24"/>
        </w:rPr>
        <w:t>Ζερβουδάκη</w:t>
      </w:r>
      <w:proofErr w:type="spellEnd"/>
      <w:r w:rsidRPr="0071152E">
        <w:rPr>
          <w:szCs w:val="24"/>
        </w:rPr>
        <w:t xml:space="preserve">, </w:t>
      </w:r>
      <w:r>
        <w:rPr>
          <w:szCs w:val="24"/>
        </w:rPr>
        <w:t xml:space="preserve">Α.) </w:t>
      </w:r>
      <w:r>
        <w:rPr>
          <w:i/>
          <w:szCs w:val="24"/>
          <w:lang w:val="en-US"/>
        </w:rPr>
        <w:t>British</w:t>
      </w:r>
      <w:r w:rsidRPr="00B160F7">
        <w:rPr>
          <w:i/>
          <w:szCs w:val="24"/>
        </w:rPr>
        <w:t xml:space="preserve"> </w:t>
      </w:r>
      <w:r>
        <w:rPr>
          <w:i/>
          <w:szCs w:val="24"/>
          <w:lang w:val="en-US"/>
        </w:rPr>
        <w:t>Medical</w:t>
      </w:r>
      <w:r w:rsidRPr="00B160F7">
        <w:rPr>
          <w:i/>
          <w:szCs w:val="24"/>
        </w:rPr>
        <w:t xml:space="preserve"> </w:t>
      </w:r>
      <w:r>
        <w:rPr>
          <w:i/>
          <w:szCs w:val="24"/>
          <w:lang w:val="en-US"/>
        </w:rPr>
        <w:t>Journal</w:t>
      </w:r>
      <w:r w:rsidRPr="00B160F7">
        <w:rPr>
          <w:i/>
          <w:szCs w:val="24"/>
        </w:rPr>
        <w:t>, 332</w:t>
      </w:r>
      <w:r w:rsidRPr="00B160F7">
        <w:rPr>
          <w:szCs w:val="24"/>
        </w:rPr>
        <w:t>(4), 525-527.</w:t>
      </w:r>
    </w:p>
    <w:p w:rsidR="001D65A9" w:rsidRDefault="001D65A9" w:rsidP="00E32768">
      <w:pPr>
        <w:rPr>
          <w:lang w:eastAsia="el-GR"/>
        </w:rPr>
      </w:pPr>
      <w:proofErr w:type="spellStart"/>
      <w:r>
        <w:rPr>
          <w:lang w:eastAsia="el-GR"/>
        </w:rPr>
        <w:t>Πολυκανδριώτη</w:t>
      </w:r>
      <w:proofErr w:type="spellEnd"/>
      <w:r>
        <w:rPr>
          <w:lang w:eastAsia="el-GR"/>
        </w:rPr>
        <w:t xml:space="preserve">, Μ. &amp; Κυρίτση, Ε. (2006). </w:t>
      </w:r>
      <w:r w:rsidRPr="00B160F7">
        <w:rPr>
          <w:lang w:eastAsia="el-GR"/>
        </w:rPr>
        <w:t xml:space="preserve">Ποιότητα ζωής των ασθενών με σκλήρυνση κατά πλάκας. </w:t>
      </w:r>
      <w:r>
        <w:rPr>
          <w:i/>
          <w:lang w:eastAsia="el-GR"/>
        </w:rPr>
        <w:t xml:space="preserve">Νοσηλευτική, </w:t>
      </w:r>
      <w:r w:rsidRPr="00B160F7">
        <w:rPr>
          <w:lang w:eastAsia="el-GR"/>
        </w:rPr>
        <w:t>45</w:t>
      </w:r>
      <w:r>
        <w:rPr>
          <w:lang w:eastAsia="el-GR"/>
        </w:rPr>
        <w:t>(2), 207-214.</w:t>
      </w:r>
    </w:p>
    <w:p w:rsidR="001D65A9" w:rsidRPr="00BF4FD1" w:rsidRDefault="001D65A9" w:rsidP="00667863">
      <w:pPr>
        <w:rPr>
          <w:lang w:eastAsia="el-GR"/>
        </w:rPr>
      </w:pPr>
      <w:proofErr w:type="spellStart"/>
      <w:r>
        <w:rPr>
          <w:lang w:eastAsia="el-GR"/>
        </w:rPr>
        <w:lastRenderedPageBreak/>
        <w:t>Τσούγγου</w:t>
      </w:r>
      <w:proofErr w:type="spellEnd"/>
      <w:r w:rsidRPr="00667863">
        <w:rPr>
          <w:lang w:eastAsia="el-GR"/>
        </w:rPr>
        <w:t xml:space="preserve">, </w:t>
      </w:r>
      <w:r>
        <w:rPr>
          <w:lang w:eastAsia="el-GR"/>
        </w:rPr>
        <w:t>Γ</w:t>
      </w:r>
      <w:r w:rsidRPr="00667863">
        <w:rPr>
          <w:lang w:eastAsia="el-GR"/>
        </w:rPr>
        <w:t xml:space="preserve">. </w:t>
      </w:r>
      <w:r>
        <w:rPr>
          <w:lang w:eastAsia="el-GR"/>
        </w:rPr>
        <w:t xml:space="preserve">κ. συν. (2016). Ψυχοκοινωνικές διαστάσεις και ποιότητα ζωής ασθενών με πολλαπλή σκλήρυνση: Ανασκόπηση ποσοτικών και ποιοτικών μελετών για το διάστημα 2000-2015. </w:t>
      </w:r>
      <w:r>
        <w:rPr>
          <w:i/>
          <w:lang w:eastAsia="el-GR"/>
        </w:rPr>
        <w:t>Ελληνικό Περιοδικό της Νοσηλευτικής Επιστήμης, 9</w:t>
      </w:r>
      <w:r>
        <w:rPr>
          <w:lang w:eastAsia="el-GR"/>
        </w:rPr>
        <w:t>(1), 17-29.</w:t>
      </w:r>
    </w:p>
    <w:p w:rsidR="001D65A9" w:rsidRPr="00DD5088" w:rsidRDefault="001D65A9" w:rsidP="00E32768">
      <w:pPr>
        <w:rPr>
          <w:lang w:eastAsia="el-GR"/>
        </w:rPr>
      </w:pPr>
      <w:r w:rsidRPr="00B160F7">
        <w:rPr>
          <w:lang w:eastAsia="el-GR"/>
        </w:rPr>
        <w:t>Χαράτση</w:t>
      </w:r>
      <w:r w:rsidRPr="00E32768">
        <w:rPr>
          <w:lang w:eastAsia="el-GR"/>
        </w:rPr>
        <w:t>-</w:t>
      </w:r>
      <w:proofErr w:type="spellStart"/>
      <w:r w:rsidRPr="00E32768">
        <w:rPr>
          <w:lang w:eastAsia="el-GR"/>
        </w:rPr>
        <w:t>Γιωτάκη</w:t>
      </w:r>
      <w:proofErr w:type="spellEnd"/>
      <w:r w:rsidRPr="00E32768">
        <w:rPr>
          <w:lang w:eastAsia="el-GR"/>
        </w:rPr>
        <w:t xml:space="preserve"> Ε., (2010). </w:t>
      </w:r>
      <w:r>
        <w:rPr>
          <w:i/>
          <w:iCs/>
          <w:lang w:eastAsia="el-GR"/>
        </w:rPr>
        <w:t>Σύγχρονη Εσωτερική Παθολογία.</w:t>
      </w:r>
      <w:r w:rsidRPr="00E32768">
        <w:rPr>
          <w:i/>
          <w:iCs/>
          <w:lang w:eastAsia="el-GR"/>
        </w:rPr>
        <w:t xml:space="preserve"> </w:t>
      </w:r>
      <w:r>
        <w:rPr>
          <w:lang w:eastAsia="el-GR"/>
        </w:rPr>
        <w:t xml:space="preserve">Αθήνα: </w:t>
      </w:r>
      <w:r w:rsidRPr="00E32768">
        <w:rPr>
          <w:lang w:eastAsia="el-GR"/>
        </w:rPr>
        <w:t>Ιατρικές και Επιστημονικές Εκδόσεις.</w:t>
      </w:r>
    </w:p>
    <w:p w:rsidR="00DC0B14" w:rsidRPr="002F55FC" w:rsidRDefault="00DC0B14" w:rsidP="00E32768">
      <w:pPr>
        <w:rPr>
          <w:lang w:eastAsia="el-GR"/>
        </w:rPr>
      </w:pPr>
    </w:p>
    <w:p w:rsidR="002D4FC9" w:rsidRPr="00F456AF" w:rsidRDefault="002D4FC9" w:rsidP="002D4FC9">
      <w:pPr>
        <w:rPr>
          <w:u w:val="single"/>
          <w:lang w:eastAsia="el-GR"/>
        </w:rPr>
      </w:pPr>
      <w:r w:rsidRPr="00E32768">
        <w:rPr>
          <w:u w:val="single"/>
          <w:lang w:eastAsia="el-GR"/>
        </w:rPr>
        <w:t>Ξενόγλωσση</w:t>
      </w:r>
    </w:p>
    <w:p w:rsidR="008F62AA" w:rsidRPr="008F62AA" w:rsidRDefault="008F62AA" w:rsidP="00D102B8">
      <w:pPr>
        <w:rPr>
          <w:bCs/>
          <w:szCs w:val="24"/>
          <w:lang w:val="en-US"/>
        </w:rPr>
      </w:pPr>
      <w:r w:rsidRPr="008F62AA">
        <w:rPr>
          <w:bCs/>
          <w:szCs w:val="24"/>
          <w:lang w:val="en-US"/>
        </w:rPr>
        <w:t>Acchiote</w:t>
      </w:r>
      <w:r w:rsidRPr="008F62AA">
        <w:rPr>
          <w:bCs/>
          <w:szCs w:val="24"/>
        </w:rPr>
        <w:t xml:space="preserve">, </w:t>
      </w:r>
      <w:r w:rsidRPr="008F62AA">
        <w:rPr>
          <w:bCs/>
          <w:szCs w:val="24"/>
          <w:lang w:val="en-US"/>
        </w:rPr>
        <w:t>P</w:t>
      </w:r>
      <w:r w:rsidRPr="008F62AA">
        <w:rPr>
          <w:bCs/>
          <w:szCs w:val="24"/>
        </w:rPr>
        <w:t xml:space="preserve">. (1907). </w:t>
      </w:r>
      <w:r w:rsidRPr="008F62AA">
        <w:rPr>
          <w:bCs/>
          <w:szCs w:val="24"/>
          <w:lang w:val="en-US"/>
        </w:rPr>
        <w:t>Sur</w:t>
      </w:r>
      <w:r w:rsidRPr="008F62AA">
        <w:rPr>
          <w:bCs/>
          <w:szCs w:val="24"/>
        </w:rPr>
        <w:t xml:space="preserve"> </w:t>
      </w:r>
      <w:r w:rsidRPr="008F62AA">
        <w:rPr>
          <w:bCs/>
          <w:szCs w:val="24"/>
          <w:lang w:val="en-US"/>
        </w:rPr>
        <w:t>un</w:t>
      </w:r>
      <w:r w:rsidRPr="008F62AA">
        <w:rPr>
          <w:bCs/>
          <w:szCs w:val="24"/>
        </w:rPr>
        <w:t xml:space="preserve"> </w:t>
      </w:r>
      <w:r w:rsidRPr="008F62AA">
        <w:rPr>
          <w:bCs/>
          <w:szCs w:val="24"/>
          <w:lang w:val="en-US"/>
        </w:rPr>
        <w:t>cas</w:t>
      </w:r>
      <w:r w:rsidRPr="008F62AA">
        <w:rPr>
          <w:bCs/>
          <w:szCs w:val="24"/>
        </w:rPr>
        <w:t xml:space="preserve"> </w:t>
      </w:r>
      <w:r w:rsidRPr="008F62AA">
        <w:rPr>
          <w:bCs/>
          <w:szCs w:val="24"/>
          <w:lang w:val="en-US"/>
        </w:rPr>
        <w:t>de</w:t>
      </w:r>
      <w:r w:rsidRPr="008F62AA">
        <w:rPr>
          <w:bCs/>
          <w:szCs w:val="24"/>
        </w:rPr>
        <w:t xml:space="preserve"> </w:t>
      </w:r>
      <w:r w:rsidRPr="008F62AA">
        <w:rPr>
          <w:bCs/>
          <w:szCs w:val="24"/>
          <w:lang w:val="en-US"/>
        </w:rPr>
        <w:t>neuromy</w:t>
      </w:r>
      <w:r w:rsidRPr="008F62AA">
        <w:rPr>
          <w:bCs/>
          <w:szCs w:val="24"/>
        </w:rPr>
        <w:t>é</w:t>
      </w:r>
      <w:r w:rsidRPr="008F62AA">
        <w:rPr>
          <w:bCs/>
          <w:szCs w:val="24"/>
          <w:lang w:val="en-US"/>
        </w:rPr>
        <w:t>lite</w:t>
      </w:r>
      <w:r w:rsidRPr="008F62AA">
        <w:rPr>
          <w:bCs/>
          <w:szCs w:val="24"/>
        </w:rPr>
        <w:t xml:space="preserve"> </w:t>
      </w:r>
      <w:r w:rsidRPr="008F62AA">
        <w:rPr>
          <w:bCs/>
          <w:szCs w:val="24"/>
          <w:lang w:val="en-US"/>
        </w:rPr>
        <w:t>subaigu</w:t>
      </w:r>
      <w:r w:rsidRPr="008F62AA">
        <w:rPr>
          <w:bCs/>
          <w:szCs w:val="24"/>
        </w:rPr>
        <w:t xml:space="preserve">ë </w:t>
      </w:r>
      <w:r w:rsidRPr="008F62AA">
        <w:rPr>
          <w:bCs/>
          <w:szCs w:val="24"/>
          <w:lang w:val="en-US"/>
        </w:rPr>
        <w:t>ou</w:t>
      </w:r>
      <w:r w:rsidRPr="008F62AA">
        <w:rPr>
          <w:bCs/>
          <w:szCs w:val="24"/>
        </w:rPr>
        <w:t xml:space="preserve"> </w:t>
      </w:r>
      <w:r w:rsidRPr="008F62AA">
        <w:rPr>
          <w:bCs/>
          <w:szCs w:val="24"/>
          <w:lang w:val="en-US"/>
        </w:rPr>
        <w:t>maladie</w:t>
      </w:r>
      <w:r w:rsidRPr="008F62AA">
        <w:rPr>
          <w:bCs/>
          <w:szCs w:val="24"/>
        </w:rPr>
        <w:t xml:space="preserve"> </w:t>
      </w:r>
      <w:r w:rsidRPr="008F62AA">
        <w:rPr>
          <w:bCs/>
          <w:szCs w:val="24"/>
          <w:lang w:val="en-US"/>
        </w:rPr>
        <w:t>de</w:t>
      </w:r>
      <w:r w:rsidRPr="008F62AA">
        <w:rPr>
          <w:bCs/>
          <w:szCs w:val="24"/>
        </w:rPr>
        <w:t xml:space="preserve"> </w:t>
      </w:r>
      <w:r w:rsidRPr="008F62AA">
        <w:rPr>
          <w:bCs/>
          <w:szCs w:val="24"/>
          <w:lang w:val="en-US"/>
        </w:rPr>
        <w:t>Devic</w:t>
      </w:r>
      <w:r w:rsidRPr="008F62AA">
        <w:rPr>
          <w:bCs/>
          <w:szCs w:val="24"/>
        </w:rPr>
        <w:t xml:space="preserve"> [</w:t>
      </w:r>
      <w:r w:rsidRPr="008F62AA">
        <w:rPr>
          <w:rStyle w:val="tlid-translation"/>
          <w:szCs w:val="24"/>
        </w:rPr>
        <w:t xml:space="preserve">Σε περίπτωση </w:t>
      </w:r>
      <w:proofErr w:type="spellStart"/>
      <w:r w:rsidRPr="008F62AA">
        <w:rPr>
          <w:rStyle w:val="tlid-translation"/>
          <w:szCs w:val="24"/>
        </w:rPr>
        <w:t>υποξείας</w:t>
      </w:r>
      <w:proofErr w:type="spellEnd"/>
      <w:r w:rsidRPr="008F62AA">
        <w:rPr>
          <w:rStyle w:val="tlid-translation"/>
          <w:szCs w:val="24"/>
        </w:rPr>
        <w:t xml:space="preserve"> νευρομυελίτιδας ή νόσου του </w:t>
      </w:r>
      <w:r w:rsidRPr="008F62AA">
        <w:rPr>
          <w:rStyle w:val="tlid-translation"/>
          <w:szCs w:val="24"/>
          <w:lang w:val="en-US"/>
        </w:rPr>
        <w:t>Devic</w:t>
      </w:r>
      <w:r w:rsidRPr="008F62AA">
        <w:rPr>
          <w:rStyle w:val="tlid-translation"/>
          <w:szCs w:val="24"/>
        </w:rPr>
        <w:t>]</w:t>
      </w:r>
      <w:r w:rsidRPr="008F62AA">
        <w:rPr>
          <w:bCs/>
          <w:szCs w:val="24"/>
        </w:rPr>
        <w:t xml:space="preserve">. </w:t>
      </w:r>
      <w:r w:rsidRPr="008F62AA">
        <w:rPr>
          <w:bCs/>
          <w:i/>
          <w:szCs w:val="24"/>
          <w:lang w:val="en-US"/>
        </w:rPr>
        <w:t>Rev Neurol (Paris), 20</w:t>
      </w:r>
      <w:r w:rsidRPr="008F62AA">
        <w:rPr>
          <w:bCs/>
          <w:szCs w:val="24"/>
          <w:lang w:val="en-US"/>
        </w:rPr>
        <w:t>, 775-777.</w:t>
      </w:r>
    </w:p>
    <w:p w:rsidR="008F62AA" w:rsidRPr="008F62AA" w:rsidRDefault="008F62AA" w:rsidP="00D102B8">
      <w:pPr>
        <w:rPr>
          <w:bCs/>
          <w:szCs w:val="24"/>
          <w:lang w:val="en-US"/>
        </w:rPr>
      </w:pPr>
      <w:r w:rsidRPr="008F62AA">
        <w:rPr>
          <w:bCs/>
          <w:szCs w:val="24"/>
          <w:lang w:val="en-US"/>
        </w:rPr>
        <w:t xml:space="preserve">Allbutt, T.C. (1870) On the ophthalmoscopic signs of spinal disease. </w:t>
      </w:r>
      <w:r w:rsidRPr="008F62AA">
        <w:rPr>
          <w:bCs/>
          <w:i/>
          <w:szCs w:val="24"/>
          <w:lang w:val="en-US"/>
        </w:rPr>
        <w:t xml:space="preserve">Lancet, 1, </w:t>
      </w:r>
      <w:r w:rsidRPr="008F62AA">
        <w:rPr>
          <w:bCs/>
          <w:szCs w:val="24"/>
          <w:lang w:val="en-US"/>
        </w:rPr>
        <w:t>76-78.</w:t>
      </w:r>
    </w:p>
    <w:p w:rsidR="008F62AA" w:rsidRPr="008F62AA" w:rsidRDefault="008F62AA" w:rsidP="00D102B8">
      <w:pPr>
        <w:rPr>
          <w:szCs w:val="24"/>
          <w:lang w:val="en-US"/>
        </w:rPr>
      </w:pPr>
      <w:r w:rsidRPr="008F62AA">
        <w:rPr>
          <w:bCs/>
          <w:szCs w:val="24"/>
          <w:lang w:val="en-US"/>
        </w:rPr>
        <w:t xml:space="preserve">Alpini, D. , Caputo, D. Pugnetti, • L., Giuliano, • D.A., Cesarani, </w:t>
      </w:r>
      <w:r w:rsidRPr="008F62AA">
        <w:rPr>
          <w:bCs/>
          <w:szCs w:val="24"/>
        </w:rPr>
        <w:t>Α</w:t>
      </w:r>
      <w:r w:rsidRPr="008F62AA">
        <w:rPr>
          <w:bCs/>
          <w:szCs w:val="24"/>
          <w:lang w:val="en-US"/>
        </w:rPr>
        <w:t xml:space="preserve">. (2001). </w:t>
      </w:r>
      <w:r w:rsidRPr="008F62AA">
        <w:rPr>
          <w:szCs w:val="24"/>
          <w:lang w:val="en-US"/>
        </w:rPr>
        <w:t>Vertigo and multiple sclerosis: aspects of differential diagnosis.</w:t>
      </w:r>
      <w:r w:rsidRPr="008F62AA">
        <w:rPr>
          <w:i/>
          <w:szCs w:val="24"/>
          <w:lang w:val="en-US"/>
        </w:rPr>
        <w:t xml:space="preserve"> Neurol Sci., 22</w:t>
      </w:r>
      <w:r w:rsidRPr="008F62AA">
        <w:rPr>
          <w:szCs w:val="24"/>
          <w:lang w:val="en-US"/>
        </w:rPr>
        <w:t xml:space="preserve">, S84–S87. </w:t>
      </w:r>
    </w:p>
    <w:p w:rsidR="008F62AA" w:rsidRPr="008F62AA" w:rsidRDefault="008F62AA" w:rsidP="00D102B8">
      <w:pPr>
        <w:autoSpaceDE w:val="0"/>
        <w:autoSpaceDN w:val="0"/>
        <w:adjustRightInd w:val="0"/>
        <w:rPr>
          <w:szCs w:val="24"/>
          <w:lang w:val="en-US" w:eastAsia="el-GR"/>
        </w:rPr>
      </w:pPr>
      <w:r w:rsidRPr="008F62AA">
        <w:rPr>
          <w:szCs w:val="24"/>
          <w:lang w:val="en-US" w:eastAsia="el-GR"/>
        </w:rPr>
        <w:t>Apiwattanakul, M., Popescu, B., Matiello, M.</w:t>
      </w:r>
      <w:r w:rsidRPr="008F62AA">
        <w:rPr>
          <w:i/>
          <w:iCs/>
          <w:szCs w:val="24"/>
          <w:lang w:val="en-US" w:eastAsia="el-GR"/>
        </w:rPr>
        <w:t>, et al</w:t>
      </w:r>
      <w:r w:rsidRPr="008F62AA">
        <w:rPr>
          <w:szCs w:val="24"/>
          <w:lang w:val="en-US" w:eastAsia="el-GR"/>
        </w:rPr>
        <w:t xml:space="preserve">.(2010). Intractable vomiting as the initial presentation of neuromyelitis optica. </w:t>
      </w:r>
      <w:r w:rsidRPr="008F62AA">
        <w:rPr>
          <w:i/>
          <w:iCs/>
          <w:szCs w:val="24"/>
          <w:lang w:val="en-US" w:eastAsia="el-GR"/>
        </w:rPr>
        <w:t>Ann Neurol</w:t>
      </w:r>
      <w:r w:rsidRPr="008F62AA">
        <w:rPr>
          <w:szCs w:val="24"/>
          <w:lang w:val="en-US" w:eastAsia="el-GR"/>
        </w:rPr>
        <w:t>.,</w:t>
      </w:r>
      <w:r w:rsidRPr="008F62AA">
        <w:rPr>
          <w:i/>
          <w:szCs w:val="24"/>
          <w:lang w:val="en-US" w:eastAsia="el-GR"/>
        </w:rPr>
        <w:t>68</w:t>
      </w:r>
      <w:r w:rsidRPr="008F62AA">
        <w:rPr>
          <w:szCs w:val="24"/>
          <w:lang w:val="en-US" w:eastAsia="el-GR"/>
        </w:rPr>
        <w:t>, 757–761.</w:t>
      </w:r>
    </w:p>
    <w:p w:rsidR="008F62AA" w:rsidRPr="008F62AA" w:rsidRDefault="008F62AA" w:rsidP="00D102B8">
      <w:pPr>
        <w:rPr>
          <w:szCs w:val="24"/>
          <w:lang w:val="en-US"/>
        </w:rPr>
      </w:pPr>
      <w:r w:rsidRPr="008F62AA">
        <w:rPr>
          <w:szCs w:val="24"/>
          <w:lang w:val="en-US"/>
        </w:rPr>
        <w:t xml:space="preserve">Ascherio, A. &amp; Munger, K.L. (2007). Environmental risk factors for multiple sclerosis. Part I: the role of infection. </w:t>
      </w:r>
      <w:r w:rsidRPr="008F62AA">
        <w:rPr>
          <w:i/>
          <w:szCs w:val="24"/>
          <w:lang w:val="en-US"/>
        </w:rPr>
        <w:t>Ann Neurol., 61</w:t>
      </w:r>
      <w:r w:rsidRPr="008F62AA">
        <w:rPr>
          <w:szCs w:val="24"/>
          <w:lang w:val="en-US"/>
        </w:rPr>
        <w:t xml:space="preserve">(4), 288-99. </w:t>
      </w:r>
    </w:p>
    <w:p w:rsidR="008F62AA" w:rsidRPr="008F62AA" w:rsidRDefault="008F62AA" w:rsidP="00D102B8">
      <w:pPr>
        <w:autoSpaceDE w:val="0"/>
        <w:autoSpaceDN w:val="0"/>
        <w:adjustRightInd w:val="0"/>
        <w:rPr>
          <w:szCs w:val="24"/>
          <w:lang w:val="en-US" w:eastAsia="el-GR"/>
        </w:rPr>
      </w:pPr>
      <w:r w:rsidRPr="008F62AA">
        <w:rPr>
          <w:szCs w:val="24"/>
          <w:lang w:val="en-US" w:eastAsia="el-GR"/>
        </w:rPr>
        <w:t>Asgari, N., Lillevang, S., Skejoe, H.</w:t>
      </w:r>
      <w:r w:rsidRPr="008F62AA">
        <w:rPr>
          <w:i/>
          <w:iCs/>
          <w:szCs w:val="24"/>
          <w:lang w:val="en-US" w:eastAsia="el-GR"/>
        </w:rPr>
        <w:t>, et al</w:t>
      </w:r>
      <w:r w:rsidRPr="008F62AA">
        <w:rPr>
          <w:szCs w:val="24"/>
          <w:lang w:val="en-US" w:eastAsia="el-GR"/>
        </w:rPr>
        <w:t xml:space="preserve">. (2011). A population-based study of neuromyelitis optica in Caucasians. </w:t>
      </w:r>
      <w:r w:rsidRPr="008F62AA">
        <w:rPr>
          <w:i/>
          <w:iCs/>
          <w:szCs w:val="24"/>
          <w:lang w:val="en-US" w:eastAsia="el-GR"/>
        </w:rPr>
        <w:t>Neurology</w:t>
      </w:r>
      <w:r w:rsidRPr="008F62AA">
        <w:rPr>
          <w:szCs w:val="24"/>
          <w:lang w:val="en-US" w:eastAsia="el-GR"/>
        </w:rPr>
        <w:t xml:space="preserve"> </w:t>
      </w:r>
      <w:r w:rsidRPr="008F62AA">
        <w:rPr>
          <w:i/>
          <w:szCs w:val="24"/>
          <w:lang w:val="en-US" w:eastAsia="el-GR"/>
        </w:rPr>
        <w:t>76</w:t>
      </w:r>
      <w:r w:rsidRPr="008F62AA">
        <w:rPr>
          <w:szCs w:val="24"/>
          <w:lang w:val="en-US" w:eastAsia="el-GR"/>
        </w:rPr>
        <w:t>, 1589–1595.</w:t>
      </w:r>
    </w:p>
    <w:p w:rsidR="008F62AA" w:rsidRPr="008F62AA" w:rsidRDefault="008F62AA" w:rsidP="00D102B8">
      <w:pPr>
        <w:shd w:val="clear" w:color="auto" w:fill="FFFFFF"/>
        <w:rPr>
          <w:szCs w:val="24"/>
          <w:lang w:val="en-US"/>
        </w:rPr>
      </w:pPr>
      <w:r w:rsidRPr="008F62AA">
        <w:rPr>
          <w:szCs w:val="24"/>
          <w:lang w:val="en-US"/>
        </w:rPr>
        <w:t xml:space="preserve">Azzopardi, L., Cox, A.L., McCarthy, C.L., Jones, J.L., Coles, A.J. (2016) Alemtuzumab use in neuromyelitis optica spectrum disorders: a brief case series. </w:t>
      </w:r>
      <w:r w:rsidRPr="008F62AA">
        <w:rPr>
          <w:i/>
          <w:szCs w:val="24"/>
          <w:lang w:val="en-US"/>
        </w:rPr>
        <w:t>J Neurol 263</w:t>
      </w:r>
      <w:r w:rsidRPr="008F62AA">
        <w:rPr>
          <w:szCs w:val="24"/>
          <w:lang w:val="en-US"/>
        </w:rPr>
        <w:t>(1), 25–29.</w:t>
      </w:r>
    </w:p>
    <w:p w:rsidR="008F62AA" w:rsidRPr="008F62AA" w:rsidRDefault="008F62AA" w:rsidP="00D102B8">
      <w:pPr>
        <w:rPr>
          <w:szCs w:val="24"/>
          <w:lang w:val="en-US"/>
        </w:rPr>
      </w:pPr>
      <w:r w:rsidRPr="008F62AA">
        <w:rPr>
          <w:szCs w:val="24"/>
          <w:lang w:val="en-US"/>
        </w:rPr>
        <w:t xml:space="preserve">Bahrun, Ul. &amp; Wijaya, Ch.. (2018). Immunology of multiple sclerosis. Indonesian Journal of Clinical Pathology and Medical Laboratory, 24, 191. DOI: 10.24293/ijcpml.v24i2.1323. </w:t>
      </w:r>
    </w:p>
    <w:p w:rsidR="008F62AA" w:rsidRPr="008F62AA" w:rsidRDefault="008F62AA" w:rsidP="00D102B8">
      <w:pPr>
        <w:rPr>
          <w:szCs w:val="24"/>
          <w:lang w:val="en-US"/>
        </w:rPr>
      </w:pPr>
      <w:r w:rsidRPr="008F62AA">
        <w:rPr>
          <w:szCs w:val="24"/>
          <w:lang w:val="en-US"/>
        </w:rPr>
        <w:t xml:space="preserve">Balo, J. (1928). Encephalitis periaxialis concentrica. </w:t>
      </w:r>
      <w:r w:rsidRPr="008F62AA">
        <w:rPr>
          <w:i/>
          <w:szCs w:val="24"/>
          <w:lang w:val="en-US"/>
        </w:rPr>
        <w:t xml:space="preserve">Arch Neurol Psychiatry, 19, </w:t>
      </w:r>
      <w:r w:rsidRPr="008F62AA">
        <w:rPr>
          <w:szCs w:val="24"/>
          <w:lang w:val="en-US"/>
        </w:rPr>
        <w:t xml:space="preserve">242–244. </w:t>
      </w:r>
    </w:p>
    <w:p w:rsidR="008F62AA" w:rsidRPr="008F62AA" w:rsidRDefault="008F62AA" w:rsidP="00D102B8">
      <w:pPr>
        <w:autoSpaceDE w:val="0"/>
        <w:autoSpaceDN w:val="0"/>
        <w:adjustRightInd w:val="0"/>
        <w:rPr>
          <w:szCs w:val="24"/>
          <w:lang w:val="en-US" w:eastAsia="el-GR"/>
        </w:rPr>
      </w:pPr>
      <w:r w:rsidRPr="008F62AA">
        <w:rPr>
          <w:szCs w:val="24"/>
          <w:lang w:val="en-US" w:eastAsia="el-GR"/>
        </w:rPr>
        <w:t>Banwell, B., Tenembaum, S., Lennon, V.</w:t>
      </w:r>
      <w:r w:rsidRPr="008F62AA">
        <w:rPr>
          <w:i/>
          <w:iCs/>
          <w:szCs w:val="24"/>
          <w:lang w:val="en-US" w:eastAsia="el-GR"/>
        </w:rPr>
        <w:t>, et al</w:t>
      </w:r>
      <w:r w:rsidRPr="008F62AA">
        <w:rPr>
          <w:szCs w:val="24"/>
          <w:lang w:val="en-US" w:eastAsia="el-GR"/>
        </w:rPr>
        <w:t xml:space="preserve">. (2008). Neuromyelitis optica-IgG in childhood inflammatory demyelinating CNS disorders. </w:t>
      </w:r>
      <w:r w:rsidRPr="008F62AA">
        <w:rPr>
          <w:i/>
          <w:iCs/>
          <w:szCs w:val="24"/>
          <w:lang w:val="en-US" w:eastAsia="el-GR"/>
        </w:rPr>
        <w:t>Neurology,</w:t>
      </w:r>
      <w:r w:rsidRPr="008F62AA">
        <w:rPr>
          <w:i/>
          <w:szCs w:val="24"/>
          <w:lang w:val="en-US" w:eastAsia="el-GR"/>
        </w:rPr>
        <w:t xml:space="preserve"> 70</w:t>
      </w:r>
      <w:r w:rsidRPr="008F62AA">
        <w:rPr>
          <w:szCs w:val="24"/>
          <w:lang w:val="en-US" w:eastAsia="el-GR"/>
        </w:rPr>
        <w:t>, 344–352.</w:t>
      </w:r>
    </w:p>
    <w:p w:rsidR="008F62AA" w:rsidRPr="008F62AA" w:rsidRDefault="008F62AA" w:rsidP="00D102B8">
      <w:pPr>
        <w:rPr>
          <w:bCs/>
          <w:szCs w:val="24"/>
          <w:lang w:val="en-US"/>
        </w:rPr>
      </w:pPr>
      <w:r w:rsidRPr="008F62AA">
        <w:rPr>
          <w:bCs/>
          <w:iCs/>
          <w:szCs w:val="24"/>
          <w:lang w:val="en-US"/>
        </w:rPr>
        <w:t>Barnado, A., Crofford, L.J., Oates, J.C.</w:t>
      </w:r>
      <w:r w:rsidRPr="008F62AA">
        <w:rPr>
          <w:bCs/>
          <w:szCs w:val="24"/>
          <w:lang w:val="en-US"/>
        </w:rPr>
        <w:t>. (2015). At the Bedside: Neutrophil extracellular traps (NETs) as targets for biomarkers and therapies in autoimmune diseases. J Leukoc Biol</w:t>
      </w:r>
      <w:r>
        <w:rPr>
          <w:bCs/>
          <w:szCs w:val="24"/>
        </w:rPr>
        <w:t>,</w:t>
      </w:r>
      <w:r w:rsidRPr="008F62AA">
        <w:rPr>
          <w:bCs/>
          <w:szCs w:val="24"/>
          <w:lang w:val="en-US"/>
        </w:rPr>
        <w:t xml:space="preserve"> 265-78. </w:t>
      </w:r>
    </w:p>
    <w:p w:rsidR="008F62AA" w:rsidRPr="008F62AA" w:rsidRDefault="008F62AA" w:rsidP="00D102B8">
      <w:pPr>
        <w:rPr>
          <w:bCs/>
          <w:szCs w:val="24"/>
          <w:lang w:val="en-US"/>
        </w:rPr>
      </w:pPr>
      <w:r w:rsidRPr="008F62AA">
        <w:rPr>
          <w:bCs/>
          <w:szCs w:val="24"/>
          <w:lang w:val="en-US"/>
        </w:rPr>
        <w:lastRenderedPageBreak/>
        <w:t xml:space="preserve">Beck, G.M. (1927). A case of diffuse myelitis associated with optic neuritis. </w:t>
      </w:r>
      <w:r w:rsidRPr="008F62AA">
        <w:rPr>
          <w:bCs/>
          <w:i/>
          <w:szCs w:val="24"/>
          <w:lang w:val="en-US"/>
        </w:rPr>
        <w:t xml:space="preserve">Brain, 50, </w:t>
      </w:r>
      <w:r w:rsidRPr="008F62AA">
        <w:rPr>
          <w:bCs/>
          <w:szCs w:val="24"/>
          <w:lang w:val="en-US"/>
        </w:rPr>
        <w:t xml:space="preserve">687-703.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Bichuetti, D.B., Lobato. de Oliveira, E.M., Oliveira, D.M., de Amorin, S.N., Gabbai, A.A. (2010). Neuromyelitis optica treatment: analysis of 36 patients. </w:t>
      </w:r>
      <w:r w:rsidRPr="008F62AA">
        <w:rPr>
          <w:i/>
          <w:lang w:val="en-US"/>
        </w:rPr>
        <w:t>Arch Neurol 67</w:t>
      </w:r>
      <w:r w:rsidRPr="008F62AA">
        <w:rPr>
          <w:lang w:val="en-US"/>
        </w:rPr>
        <w:t>(9), 1131–1136.</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Bichuetti, D.B., Oliveira, E.M., Boulos, F.C., Gabbai, A.A. (2012). Lack of response to pulse cyclophosphamide in neuromyelitis optica: evaluation of 7 patients. </w:t>
      </w:r>
      <w:r w:rsidRPr="008F62AA">
        <w:rPr>
          <w:i/>
          <w:lang w:val="en-US"/>
        </w:rPr>
        <w:t>Arch Neurol 69</w:t>
      </w:r>
      <w:r w:rsidRPr="008F62AA">
        <w:rPr>
          <w:lang w:val="en-US"/>
        </w:rPr>
        <w:t>(7), 938–939.</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Bichuetti, D.B., Perin, M.M.M., Souza, N.A., Oliveira, E.M.L. (2019). Treating neuromyelitis optica with azathioprine: 20-year clinical practice. </w:t>
      </w:r>
      <w:r w:rsidRPr="008F62AA">
        <w:rPr>
          <w:i/>
          <w:lang w:val="en-US"/>
        </w:rPr>
        <w:t>Mult Scler 25</w:t>
      </w:r>
      <w:r w:rsidRPr="008F62AA">
        <w:rPr>
          <w:lang w:val="en-US"/>
        </w:rPr>
        <w:t>(8), 1150–1161.</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Borisow, N., Hellwig, K., Paul, F. (2018) .Neuromyelitis optica spectrum disorders and pregnancy: relapse-preventive measures and personalized treatment strategies.</w:t>
      </w:r>
      <w:r w:rsidRPr="008F62AA">
        <w:rPr>
          <w:i/>
          <w:lang w:val="en-US"/>
        </w:rPr>
        <w:t xml:space="preserve"> EPMA J 9</w:t>
      </w:r>
      <w:r w:rsidRPr="008F62AA">
        <w:rPr>
          <w:lang w:val="en-US"/>
        </w:rPr>
        <w:t>(3), 249–256</w:t>
      </w:r>
    </w:p>
    <w:p w:rsidR="008F62AA" w:rsidRPr="008F62AA" w:rsidRDefault="008F62AA" w:rsidP="00D102B8">
      <w:pPr>
        <w:rPr>
          <w:szCs w:val="24"/>
          <w:lang w:val="en-US"/>
        </w:rPr>
      </w:pPr>
      <w:r w:rsidRPr="008F62AA">
        <w:rPr>
          <w:szCs w:val="24"/>
          <w:lang w:val="en-US"/>
        </w:rPr>
        <w:t xml:space="preserve">Briggs, F.B., Acuna, B., Shen, L., Ramsay, P., Quach, H., Bernstein, A., et al. (2014). Smoking and risk of multiple sclerosis: evidence of modification by NAT1 variants. </w:t>
      </w:r>
      <w:r w:rsidRPr="008F62AA">
        <w:rPr>
          <w:i/>
          <w:szCs w:val="24"/>
          <w:lang w:val="en-US"/>
        </w:rPr>
        <w:t>Epidemiology, 25</w:t>
      </w:r>
      <w:r w:rsidRPr="008F62AA">
        <w:rPr>
          <w:szCs w:val="24"/>
          <w:lang w:val="en-US"/>
        </w:rPr>
        <w:t>(4), 605-14.</w:t>
      </w:r>
    </w:p>
    <w:p w:rsidR="008F62AA" w:rsidRPr="008F62AA" w:rsidRDefault="008F62AA" w:rsidP="00D102B8">
      <w:pPr>
        <w:rPr>
          <w:bCs/>
          <w:szCs w:val="24"/>
          <w:lang w:val="en-US"/>
        </w:rPr>
      </w:pPr>
      <w:r w:rsidRPr="008F62AA">
        <w:rPr>
          <w:bCs/>
          <w:szCs w:val="24"/>
          <w:lang w:val="en-US"/>
        </w:rPr>
        <w:t xml:space="preserve">Broadley, S., Barnett, M., Boggild, M., Brew, Br., Butzkueven, H., et al. (2015). A new era in the treatment of multiple sclerosis. </w:t>
      </w:r>
      <w:r w:rsidRPr="008F62AA">
        <w:rPr>
          <w:bCs/>
          <w:i/>
          <w:szCs w:val="24"/>
          <w:lang w:val="en-US"/>
        </w:rPr>
        <w:t>The Medical Journal of Australia</w:t>
      </w:r>
      <w:r w:rsidRPr="008F62AA">
        <w:rPr>
          <w:bCs/>
          <w:szCs w:val="24"/>
          <w:lang w:val="en-US"/>
        </w:rPr>
        <w:t xml:space="preserve">. </w:t>
      </w:r>
      <w:r w:rsidRPr="008F62AA">
        <w:rPr>
          <w:bCs/>
          <w:i/>
          <w:szCs w:val="24"/>
          <w:lang w:val="en-US"/>
        </w:rPr>
        <w:t>203</w:t>
      </w:r>
      <w:r w:rsidRPr="008F62AA">
        <w:rPr>
          <w:bCs/>
          <w:szCs w:val="24"/>
          <w:lang w:val="en-US"/>
        </w:rPr>
        <w:t>, 139-41. 10.5694/mja14.01218.</w:t>
      </w:r>
    </w:p>
    <w:p w:rsidR="008F62AA" w:rsidRPr="008F62AA" w:rsidRDefault="008F62AA" w:rsidP="00D102B8">
      <w:pPr>
        <w:rPr>
          <w:rStyle w:val="tlid-translation"/>
          <w:szCs w:val="24"/>
          <w:lang w:val="en-US"/>
        </w:rPr>
      </w:pPr>
      <w:r w:rsidRPr="008F62AA">
        <w:rPr>
          <w:rStyle w:val="tlid-translation"/>
          <w:szCs w:val="24"/>
          <w:lang w:val="en-US"/>
        </w:rPr>
        <w:t xml:space="preserve">Bronner, G., Elram, E. Golomb, J. &amp; Korczyn, A.D. (2010). </w:t>
      </w:r>
      <w:r w:rsidRPr="008F62AA">
        <w:rPr>
          <w:szCs w:val="24"/>
          <w:lang w:val="en-US"/>
        </w:rPr>
        <w:t xml:space="preserve">Female sexuality in multiple sclerosis: the multidimensional nature of the problem and the intervention. </w:t>
      </w:r>
      <w:r w:rsidRPr="008F62AA">
        <w:rPr>
          <w:i/>
          <w:szCs w:val="24"/>
          <w:lang w:val="en-US"/>
        </w:rPr>
        <w:t>Acta Neurol Scand, 121</w:t>
      </w:r>
      <w:r w:rsidRPr="008F62AA">
        <w:rPr>
          <w:szCs w:val="24"/>
          <w:lang w:val="en-US"/>
        </w:rPr>
        <w:t>, 289-301.</w:t>
      </w:r>
    </w:p>
    <w:p w:rsidR="008F62AA" w:rsidRPr="008F62AA" w:rsidRDefault="008F62AA" w:rsidP="00D102B8">
      <w:pPr>
        <w:rPr>
          <w:szCs w:val="24"/>
          <w:lang w:val="en-US"/>
        </w:rPr>
      </w:pPr>
      <w:r w:rsidRPr="008F62AA">
        <w:rPr>
          <w:szCs w:val="24"/>
          <w:lang w:val="en-US"/>
        </w:rPr>
        <w:t xml:space="preserve">Brucklacher-Waldert, V., Stuerner, K., Kolster, M., Wolthausen, J., Tolosa, E. (2009). Phenotypical and functional characterization of T helper 17 cells in multiple sclerosis. </w:t>
      </w:r>
      <w:r w:rsidRPr="008F62AA">
        <w:rPr>
          <w:i/>
          <w:szCs w:val="24"/>
          <w:lang w:val="en-US"/>
        </w:rPr>
        <w:t>Brain</w:t>
      </w:r>
      <w:r w:rsidRPr="008F62AA">
        <w:rPr>
          <w:szCs w:val="24"/>
          <w:lang w:val="en-US"/>
        </w:rPr>
        <w:t xml:space="preserve"> </w:t>
      </w:r>
      <w:r w:rsidRPr="008F62AA">
        <w:rPr>
          <w:i/>
          <w:szCs w:val="24"/>
          <w:lang w:val="en-US"/>
        </w:rPr>
        <w:t>132</w:t>
      </w:r>
      <w:r w:rsidRPr="008F62AA">
        <w:rPr>
          <w:szCs w:val="24"/>
          <w:lang w:val="en-US"/>
        </w:rPr>
        <w:t>, 3329-3341.</w:t>
      </w:r>
    </w:p>
    <w:p w:rsidR="008F62AA" w:rsidRPr="008F62AA" w:rsidRDefault="008F62AA" w:rsidP="00297ECD">
      <w:pPr>
        <w:autoSpaceDE w:val="0"/>
        <w:autoSpaceDN w:val="0"/>
        <w:adjustRightInd w:val="0"/>
        <w:rPr>
          <w:szCs w:val="24"/>
          <w:lang w:eastAsia="el-GR"/>
        </w:rPr>
      </w:pPr>
      <w:r w:rsidRPr="008F62AA">
        <w:rPr>
          <w:szCs w:val="24"/>
          <w:lang w:val="en-US" w:eastAsia="el-GR"/>
        </w:rPr>
        <w:t xml:space="preserve">Brundin, L., Kobelt, G., Berg, J., Capsa, D., &amp; Eriksson, J. (2017). New insights into the burden and costs of multiple sclerosis in Europe: Results for Sweden. </w:t>
      </w:r>
      <w:proofErr w:type="spellStart"/>
      <w:r w:rsidRPr="008F62AA">
        <w:rPr>
          <w:i/>
          <w:szCs w:val="24"/>
          <w:lang w:eastAsia="el-GR"/>
        </w:rPr>
        <w:t>Multiple</w:t>
      </w:r>
      <w:proofErr w:type="spellEnd"/>
      <w:r w:rsidRPr="008F62AA">
        <w:rPr>
          <w:i/>
          <w:szCs w:val="24"/>
          <w:lang w:eastAsia="el-GR"/>
        </w:rPr>
        <w:t xml:space="preserve"> </w:t>
      </w:r>
      <w:proofErr w:type="spellStart"/>
      <w:r w:rsidRPr="008F62AA">
        <w:rPr>
          <w:i/>
          <w:szCs w:val="24"/>
          <w:lang w:eastAsia="el-GR"/>
        </w:rPr>
        <w:t>Sclerosis</w:t>
      </w:r>
      <w:proofErr w:type="spellEnd"/>
      <w:r w:rsidRPr="008F62AA">
        <w:rPr>
          <w:i/>
          <w:szCs w:val="24"/>
          <w:lang w:eastAsia="el-GR"/>
        </w:rPr>
        <w:t xml:space="preserve"> Journal, 23</w:t>
      </w:r>
      <w:r w:rsidRPr="008F62AA">
        <w:rPr>
          <w:szCs w:val="24"/>
          <w:lang w:eastAsia="el-GR"/>
        </w:rPr>
        <w:t xml:space="preserve">(2), 179–191. </w:t>
      </w:r>
    </w:p>
    <w:p w:rsidR="008F62AA" w:rsidRPr="008F62AA" w:rsidRDefault="008F62AA" w:rsidP="00D102B8">
      <w:pPr>
        <w:shd w:val="clear" w:color="auto" w:fill="FFFFFF"/>
        <w:rPr>
          <w:szCs w:val="24"/>
          <w:lang w:val="en-US"/>
        </w:rPr>
      </w:pPr>
      <w:r w:rsidRPr="008F62AA">
        <w:rPr>
          <w:szCs w:val="24"/>
          <w:lang w:val="en-US"/>
        </w:rPr>
        <w:t>Bruscolini, A., Saccetti, M., La Cava, M., et al. (2018). Diagnosis and management of neuromyelitis optica spectrum disorders - An update. </w:t>
      </w:r>
      <w:r w:rsidRPr="008F62AA">
        <w:rPr>
          <w:rStyle w:val="a7"/>
          <w:szCs w:val="24"/>
          <w:lang w:val="en-US"/>
        </w:rPr>
        <w:t>Autoimmun Rev</w:t>
      </w:r>
      <w:r w:rsidRPr="008F62AA">
        <w:rPr>
          <w:szCs w:val="24"/>
          <w:lang w:val="en-US"/>
        </w:rPr>
        <w:t xml:space="preserve">., </w:t>
      </w:r>
      <w:r w:rsidRPr="008F62AA">
        <w:rPr>
          <w:i/>
          <w:szCs w:val="24"/>
          <w:lang w:val="en-US"/>
        </w:rPr>
        <w:t>17</w:t>
      </w:r>
      <w:r w:rsidRPr="008F62AA">
        <w:rPr>
          <w:szCs w:val="24"/>
          <w:lang w:val="en-US"/>
        </w:rPr>
        <w:t xml:space="preserve">(3), 195-200. </w:t>
      </w:r>
    </w:p>
    <w:p w:rsidR="008F62AA" w:rsidRPr="008F62AA" w:rsidRDefault="008F62AA" w:rsidP="00D102B8">
      <w:pPr>
        <w:rPr>
          <w:szCs w:val="24"/>
          <w:lang w:val="en-US"/>
        </w:rPr>
      </w:pPr>
      <w:r w:rsidRPr="008F62AA">
        <w:rPr>
          <w:szCs w:val="24"/>
          <w:lang w:val="en-US"/>
        </w:rPr>
        <w:lastRenderedPageBreak/>
        <w:t>Burks, J., Borkowski, Andr., Damiri, P. &amp; Richman, C. (2006). All About Multiple Sclerosis. Multiple Sclerosis Association of America. 3</w:t>
      </w:r>
      <w:r w:rsidRPr="008F62AA">
        <w:rPr>
          <w:szCs w:val="24"/>
          <w:vertAlign w:val="superscript"/>
          <w:lang w:val="en-US"/>
        </w:rPr>
        <w:t>rd</w:t>
      </w:r>
      <w:r w:rsidRPr="008F62AA">
        <w:rPr>
          <w:szCs w:val="24"/>
          <w:lang w:val="en-US"/>
        </w:rPr>
        <w:t xml:space="preserve"> Edition. USA.</w:t>
      </w:r>
    </w:p>
    <w:p w:rsidR="008F62AA" w:rsidRPr="008F62AA" w:rsidRDefault="008F62AA" w:rsidP="00D102B8">
      <w:pPr>
        <w:rPr>
          <w:szCs w:val="24"/>
          <w:lang w:val="en-US"/>
        </w:rPr>
      </w:pPr>
      <w:r w:rsidRPr="008F62AA">
        <w:rPr>
          <w:szCs w:val="24"/>
          <w:lang w:val="en-US"/>
        </w:rPr>
        <w:t xml:space="preserve">Cameron M. H. &amp; Nilsagard, Y. E.  (2013). Measurement and treatment of imbalance and fall risk in multiple sclerosis using the international classification of functioning, disability and health model, </w:t>
      </w:r>
      <w:r w:rsidRPr="008F62AA">
        <w:rPr>
          <w:i/>
          <w:iCs/>
          <w:szCs w:val="24"/>
          <w:lang w:val="en-US"/>
        </w:rPr>
        <w:t>Physical Medicine and Rehabilitation Clinics of North America</w:t>
      </w:r>
      <w:r w:rsidRPr="008F62AA">
        <w:rPr>
          <w:szCs w:val="24"/>
          <w:lang w:val="en-US"/>
        </w:rPr>
        <w:t>,</w:t>
      </w:r>
      <w:r w:rsidRPr="008F62AA">
        <w:rPr>
          <w:i/>
          <w:szCs w:val="24"/>
          <w:lang w:val="en-US"/>
        </w:rPr>
        <w:t>. 24</w:t>
      </w:r>
      <w:r w:rsidRPr="008F62AA">
        <w:rPr>
          <w:szCs w:val="24"/>
          <w:lang w:val="en-US"/>
        </w:rPr>
        <w:t>(2), 337–354.</w:t>
      </w:r>
    </w:p>
    <w:p w:rsidR="008F62AA" w:rsidRPr="008F62AA" w:rsidRDefault="008F62AA" w:rsidP="00D102B8">
      <w:pPr>
        <w:rPr>
          <w:bCs/>
          <w:szCs w:val="24"/>
          <w:lang w:val="en-US"/>
        </w:rPr>
      </w:pPr>
      <w:r w:rsidRPr="002B692B">
        <w:rPr>
          <w:bCs/>
          <w:iCs/>
          <w:szCs w:val="24"/>
          <w:lang w:val="en-US"/>
        </w:rPr>
        <w:t>Carmona-Rivera, C. &amp; Kaplan, M.J.K</w:t>
      </w:r>
      <w:r w:rsidRPr="002B692B">
        <w:rPr>
          <w:bCs/>
          <w:szCs w:val="24"/>
          <w:lang w:val="en-US"/>
        </w:rPr>
        <w:t>. (2013).</w:t>
      </w:r>
      <w:r w:rsidRPr="008F62AA">
        <w:rPr>
          <w:bCs/>
          <w:szCs w:val="24"/>
          <w:lang w:val="en-US"/>
        </w:rPr>
        <w:t xml:space="preserve"> Low density granulocytes: a distinct class of neutrophils in systemic autoimmunity. </w:t>
      </w:r>
      <w:r w:rsidRPr="008F62AA">
        <w:rPr>
          <w:bCs/>
          <w:i/>
          <w:szCs w:val="24"/>
          <w:lang w:val="en-US"/>
        </w:rPr>
        <w:t>Semin Immunopathol.,  35</w:t>
      </w:r>
      <w:r w:rsidRPr="008F62AA">
        <w:rPr>
          <w:bCs/>
          <w:szCs w:val="24"/>
          <w:lang w:val="en-US"/>
        </w:rPr>
        <w:t>(4), 455-463.</w:t>
      </w:r>
    </w:p>
    <w:p w:rsidR="008F62AA" w:rsidRPr="008F62AA" w:rsidRDefault="008F62AA" w:rsidP="00D102B8">
      <w:pPr>
        <w:rPr>
          <w:iCs/>
          <w:szCs w:val="24"/>
          <w:lang w:val="en-US"/>
        </w:rPr>
      </w:pPr>
      <w:r w:rsidRPr="008F62AA">
        <w:rPr>
          <w:iCs/>
          <w:szCs w:val="24"/>
          <w:lang w:val="en-US"/>
        </w:rPr>
        <w:t xml:space="preserve">Charcot, J.M. (1877). </w:t>
      </w:r>
      <w:r w:rsidRPr="008F62AA">
        <w:rPr>
          <w:i/>
          <w:iCs/>
          <w:szCs w:val="24"/>
          <w:lang w:val="en-US"/>
        </w:rPr>
        <w:t>Lectures on the Diseases of the Nervous System</w:t>
      </w:r>
      <w:r w:rsidRPr="008F62AA">
        <w:rPr>
          <w:iCs/>
          <w:szCs w:val="24"/>
          <w:lang w:val="en-US"/>
        </w:rPr>
        <w:t>. Sigerson G, trans. London: New Sydenham Society.</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Chen, H., Zhang, Y., Shi, Z., Feng, H., Yao, S., Xie ,J. et al (2016). The efficacy and tolerability of mycophenolate mofetil in treating neuromyelitis optica and neuromyelitis optica spectrum disorder in western China. </w:t>
      </w:r>
      <w:r w:rsidRPr="008F62AA">
        <w:rPr>
          <w:i/>
          <w:lang w:val="en-US"/>
        </w:rPr>
        <w:t>Clin Neuropharmacol, 39</w:t>
      </w:r>
      <w:r w:rsidRPr="008F62AA">
        <w:rPr>
          <w:lang w:val="en-US"/>
        </w:rPr>
        <w:t>(2), 81–87.</w:t>
      </w:r>
    </w:p>
    <w:p w:rsidR="008F62AA" w:rsidRPr="008F62AA" w:rsidRDefault="008F62AA" w:rsidP="00D102B8">
      <w:pPr>
        <w:rPr>
          <w:bCs/>
          <w:szCs w:val="24"/>
          <w:lang w:val="en-US"/>
        </w:rPr>
      </w:pPr>
      <w:r w:rsidRPr="008F62AA">
        <w:rPr>
          <w:bCs/>
          <w:szCs w:val="24"/>
          <w:lang w:val="en-US"/>
        </w:rPr>
        <w:t xml:space="preserve">Chisolm, J.J. (1882). An obscure case in nerve pathology accompanying optic neuritis. </w:t>
      </w:r>
      <w:r w:rsidRPr="008F62AA">
        <w:rPr>
          <w:bCs/>
          <w:i/>
          <w:szCs w:val="24"/>
          <w:lang w:val="en-US"/>
        </w:rPr>
        <w:t>Arch Ophthalmol, 11</w:t>
      </w:r>
      <w:r w:rsidRPr="008F62AA">
        <w:rPr>
          <w:bCs/>
          <w:szCs w:val="24"/>
          <w:lang w:val="en-US"/>
        </w:rPr>
        <w:t>, 239.</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Christensen, L.A., Dahlerup, J.F., Nielsen, M.J., Fallingborg, J.F., Schmiegelow, K. (2008). Azathioprine treatment during lactation. </w:t>
      </w:r>
      <w:r w:rsidRPr="008F62AA">
        <w:rPr>
          <w:i/>
          <w:lang w:val="en-US"/>
        </w:rPr>
        <w:t>Aliment Pharmacol Ther., 28</w:t>
      </w:r>
      <w:r w:rsidRPr="008F62AA">
        <w:rPr>
          <w:lang w:val="en-US"/>
        </w:rPr>
        <w:t>(10), 1209–1213.</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Cleary, B.J., Kallen, B. (2009). Early pregnancy azathioprine use and pregnancy outcomes. </w:t>
      </w:r>
      <w:r w:rsidRPr="008F62AA">
        <w:rPr>
          <w:i/>
          <w:lang w:val="en-US"/>
        </w:rPr>
        <w:t>Birth Defects Res A Clin Mol Teratol., 85</w:t>
      </w:r>
      <w:r w:rsidRPr="008F62AA">
        <w:rPr>
          <w:lang w:val="en-US"/>
        </w:rPr>
        <w:t>(7), 647–654.</w:t>
      </w:r>
    </w:p>
    <w:p w:rsidR="008F62AA" w:rsidRPr="008F62AA" w:rsidRDefault="008F62AA" w:rsidP="00D102B8">
      <w:pPr>
        <w:rPr>
          <w:bCs/>
          <w:szCs w:val="24"/>
          <w:lang w:val="en-US"/>
        </w:rPr>
      </w:pPr>
      <w:r w:rsidRPr="008F62AA">
        <w:rPr>
          <w:bCs/>
          <w:szCs w:val="24"/>
          <w:lang w:val="en-US"/>
        </w:rPr>
        <w:t xml:space="preserve">Clifford, D.B., De Luca, A., Simpson, D.M., et al. (2010). Natalizumabassociated progressive multifocal leukoencephalopathy in patients with multiple sclerosis: lessons from 28 cases. </w:t>
      </w:r>
      <w:r w:rsidRPr="008F62AA">
        <w:rPr>
          <w:bCs/>
          <w:i/>
          <w:iCs/>
          <w:szCs w:val="24"/>
          <w:lang w:val="en-US"/>
        </w:rPr>
        <w:t xml:space="preserve">Lancet Neurol., </w:t>
      </w:r>
      <w:r w:rsidRPr="008F62AA">
        <w:rPr>
          <w:bCs/>
          <w:i/>
          <w:szCs w:val="24"/>
          <w:lang w:val="en-US"/>
        </w:rPr>
        <w:t>9</w:t>
      </w:r>
      <w:r w:rsidRPr="008F62AA">
        <w:rPr>
          <w:bCs/>
          <w:szCs w:val="24"/>
          <w:lang w:val="en-US"/>
        </w:rPr>
        <w:t>, 438-446.</w:t>
      </w:r>
    </w:p>
    <w:p w:rsidR="008F62AA" w:rsidRPr="008F62AA" w:rsidRDefault="008F62AA" w:rsidP="00D102B8">
      <w:pPr>
        <w:rPr>
          <w:bCs/>
          <w:szCs w:val="24"/>
          <w:lang w:val="en-US"/>
        </w:rPr>
      </w:pPr>
      <w:r w:rsidRPr="008F62AA">
        <w:rPr>
          <w:bCs/>
          <w:szCs w:val="24"/>
          <w:lang w:val="en-US"/>
        </w:rPr>
        <w:t xml:space="preserve">Cohen, J.A., Coles, A.J., Arnold, D.L., et al. (2012). Alemtuzumab versus interferon beta 1a as first-line treatment for patients with relapsing-remitting multiple sclerosis: a randomized controlled phase 3 trial. </w:t>
      </w:r>
      <w:r w:rsidRPr="008F62AA">
        <w:rPr>
          <w:bCs/>
          <w:i/>
          <w:iCs/>
          <w:szCs w:val="24"/>
          <w:lang w:val="en-US"/>
        </w:rPr>
        <w:t xml:space="preserve">Lancet </w:t>
      </w:r>
      <w:r w:rsidRPr="008F62AA">
        <w:rPr>
          <w:bCs/>
          <w:i/>
          <w:szCs w:val="24"/>
          <w:lang w:val="en-US"/>
        </w:rPr>
        <w:t xml:space="preserve"> 380</w:t>
      </w:r>
      <w:r w:rsidRPr="008F62AA">
        <w:rPr>
          <w:bCs/>
          <w:szCs w:val="24"/>
          <w:lang w:val="en-US"/>
        </w:rPr>
        <w:t>, 1819-1828.</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Coscia, L.A., Armenti, D.P., King, R.W., Sifontis, N.M., Constantinescu, S., Moritz, M.J. (2015). Update on the teratogenicity of maternal mycophenolate mofetil. </w:t>
      </w:r>
      <w:r w:rsidRPr="008F62AA">
        <w:rPr>
          <w:i/>
          <w:lang w:val="en-US"/>
        </w:rPr>
        <w:t>J Pediatr Genet 4</w:t>
      </w:r>
      <w:r w:rsidRPr="008F62AA">
        <w:rPr>
          <w:lang w:val="en-US"/>
        </w:rPr>
        <w:t>(2), 42–55.</w:t>
      </w:r>
    </w:p>
    <w:p w:rsidR="008F62AA" w:rsidRPr="008F62AA" w:rsidRDefault="008F62AA" w:rsidP="00D102B8">
      <w:pPr>
        <w:autoSpaceDE w:val="0"/>
        <w:autoSpaceDN w:val="0"/>
        <w:adjustRightInd w:val="0"/>
        <w:rPr>
          <w:szCs w:val="24"/>
          <w:lang w:val="en-US" w:eastAsia="el-GR"/>
        </w:rPr>
      </w:pPr>
      <w:r w:rsidRPr="008F62AA">
        <w:rPr>
          <w:szCs w:val="24"/>
          <w:lang w:val="en-US" w:eastAsia="el-GR"/>
        </w:rPr>
        <w:t>Cossburn, M., Tackley, G., Baker, K.</w:t>
      </w:r>
      <w:r w:rsidRPr="008F62AA">
        <w:rPr>
          <w:i/>
          <w:iCs/>
          <w:szCs w:val="24"/>
          <w:lang w:val="en-US" w:eastAsia="el-GR"/>
        </w:rPr>
        <w:t>, et al</w:t>
      </w:r>
      <w:r w:rsidRPr="008F62AA">
        <w:rPr>
          <w:szCs w:val="24"/>
          <w:lang w:val="en-US" w:eastAsia="el-GR"/>
        </w:rPr>
        <w:t xml:space="preserve">. (2012). The prevalence of neuromyelitis optica in South East Wales. </w:t>
      </w:r>
      <w:r w:rsidRPr="008F62AA">
        <w:rPr>
          <w:i/>
          <w:iCs/>
          <w:szCs w:val="24"/>
          <w:lang w:val="en-US" w:eastAsia="el-GR"/>
        </w:rPr>
        <w:t xml:space="preserve">Eur J Neurol., </w:t>
      </w:r>
      <w:r w:rsidRPr="008F62AA">
        <w:rPr>
          <w:i/>
          <w:szCs w:val="24"/>
          <w:lang w:val="en-US" w:eastAsia="el-GR"/>
        </w:rPr>
        <w:t>19</w:t>
      </w:r>
      <w:r w:rsidRPr="008F62AA">
        <w:rPr>
          <w:szCs w:val="24"/>
          <w:lang w:val="en-US" w:eastAsia="el-GR"/>
        </w:rPr>
        <w:t>, 655–659.</w:t>
      </w:r>
    </w:p>
    <w:p w:rsidR="008F62AA" w:rsidRPr="008F62AA" w:rsidRDefault="008F62AA" w:rsidP="00D102B8">
      <w:pPr>
        <w:rPr>
          <w:szCs w:val="24"/>
          <w:lang w:val="en-US"/>
        </w:rPr>
      </w:pPr>
      <w:r w:rsidRPr="008F62AA">
        <w:rPr>
          <w:iCs/>
          <w:szCs w:val="24"/>
          <w:lang w:val="en-US"/>
        </w:rPr>
        <w:lastRenderedPageBreak/>
        <w:t>Costello, F. (2013). The afferent visual pathway: Designing a structural</w:t>
      </w:r>
      <w:r w:rsidRPr="008F62AA">
        <w:rPr>
          <w:rFonts w:ascii="Cambria Math" w:hAnsi="Cambria Math"/>
          <w:iCs/>
          <w:szCs w:val="24"/>
          <w:lang w:val="en-US"/>
        </w:rPr>
        <w:t>‐</w:t>
      </w:r>
      <w:r w:rsidRPr="008F62AA">
        <w:rPr>
          <w:iCs/>
          <w:szCs w:val="24"/>
          <w:lang w:val="en-US"/>
        </w:rPr>
        <w:t xml:space="preserve">functional paradigm of multiple sclerosis. </w:t>
      </w:r>
      <w:r w:rsidRPr="008F62AA">
        <w:rPr>
          <w:i/>
          <w:iCs/>
          <w:szCs w:val="24"/>
          <w:lang w:val="en-US"/>
        </w:rPr>
        <w:t>ISRN Neurology, 6</w:t>
      </w:r>
      <w:r w:rsidRPr="008F62AA">
        <w:rPr>
          <w:iCs/>
          <w:szCs w:val="24"/>
          <w:lang w:val="en-US"/>
        </w:rPr>
        <w:t xml:space="preserve">, 134858. </w:t>
      </w:r>
    </w:p>
    <w:p w:rsidR="008F62AA" w:rsidRPr="008F62AA" w:rsidRDefault="008F62AA" w:rsidP="00D102B8">
      <w:pPr>
        <w:rPr>
          <w:szCs w:val="24"/>
          <w:lang w:val="en-US"/>
        </w:rPr>
      </w:pPr>
      <w:r w:rsidRPr="008F62AA">
        <w:rPr>
          <w:szCs w:val="24"/>
          <w:lang w:val="en-US"/>
        </w:rPr>
        <w:t xml:space="preserve">Craig, J.J., Bruetsch, A.P., Lynch, S.G. &amp; Huisinga, J.M. (2020). Trunk and foot acceleration variability during walking relates to fall history and clinical disability in persons with multiple sclerosis. </w:t>
      </w:r>
      <w:r w:rsidRPr="008F62AA">
        <w:rPr>
          <w:i/>
          <w:szCs w:val="24"/>
          <w:lang w:val="en-US"/>
        </w:rPr>
        <w:t>Lecture, 80</w:t>
      </w:r>
      <w:r w:rsidRPr="008F62AA">
        <w:rPr>
          <w:szCs w:val="24"/>
          <w:lang w:val="en-US"/>
        </w:rPr>
        <w:t>.</w:t>
      </w:r>
    </w:p>
    <w:p w:rsidR="008F62AA" w:rsidRPr="008F62AA" w:rsidRDefault="008F62AA" w:rsidP="00D102B8">
      <w:pPr>
        <w:autoSpaceDE w:val="0"/>
        <w:autoSpaceDN w:val="0"/>
        <w:adjustRightInd w:val="0"/>
        <w:rPr>
          <w:szCs w:val="24"/>
          <w:lang w:val="en-US" w:eastAsia="el-GR"/>
        </w:rPr>
      </w:pPr>
      <w:r w:rsidRPr="008F62AA">
        <w:rPr>
          <w:szCs w:val="24"/>
          <w:lang w:val="en-US" w:eastAsia="el-GR"/>
        </w:rPr>
        <w:t>Cree, B.A., Gourraud, P., Oksenberg, J.R.</w:t>
      </w:r>
      <w:r w:rsidRPr="008F62AA">
        <w:rPr>
          <w:i/>
          <w:iCs/>
          <w:szCs w:val="24"/>
          <w:lang w:val="en-US" w:eastAsia="el-GR"/>
        </w:rPr>
        <w:t>, et al</w:t>
      </w:r>
      <w:r w:rsidRPr="008F62AA">
        <w:rPr>
          <w:szCs w:val="24"/>
          <w:lang w:val="en-US" w:eastAsia="el-GR"/>
        </w:rPr>
        <w:t xml:space="preserve">. (2016). University of California, San Francisco MS-EPIC Team. Long-term evolution of multiple sclerosis disability in the treatment era. </w:t>
      </w:r>
      <w:r w:rsidRPr="008F62AA">
        <w:rPr>
          <w:i/>
          <w:iCs/>
          <w:szCs w:val="24"/>
          <w:lang w:val="en-US" w:eastAsia="el-GR"/>
        </w:rPr>
        <w:t>Ann Neurol</w:t>
      </w:r>
      <w:r w:rsidRPr="008F62AA">
        <w:rPr>
          <w:szCs w:val="24"/>
          <w:lang w:val="en-US" w:eastAsia="el-GR"/>
        </w:rPr>
        <w:t>.,</w:t>
      </w:r>
      <w:r w:rsidRPr="008F62AA">
        <w:rPr>
          <w:i/>
          <w:szCs w:val="24"/>
          <w:lang w:val="en-US" w:eastAsia="el-GR"/>
        </w:rPr>
        <w:t>80</w:t>
      </w:r>
      <w:r w:rsidRPr="008F62AA">
        <w:rPr>
          <w:szCs w:val="24"/>
          <w:lang w:val="en-US" w:eastAsia="el-GR"/>
        </w:rPr>
        <w:t>, 499–510.</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de Boer, N.K., Jarbandhan, S.V., Mulder, C.J., van Elburg, R.M., van Bodegraven, A.A. (2006) .Azathioprine use during pregnancy: unexpected intrauterine exposure to metabolites. </w:t>
      </w:r>
      <w:r w:rsidRPr="008F62AA">
        <w:rPr>
          <w:i/>
          <w:lang w:val="en-US"/>
        </w:rPr>
        <w:t>Am J Gastroenterol, 101</w:t>
      </w:r>
      <w:r w:rsidRPr="008F62AA">
        <w:rPr>
          <w:lang w:val="en-US"/>
        </w:rPr>
        <w:t>(6), 1390–1392.</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Delgado-Garcia, G., Chavez, Z., Rivas-Alonso, V., Corona, T., Flores-Rivera, J. (2018). Obstetric outcomes in a Mexican cohort of patients with AQP4-antibody-seropositive neuromyelitis optica. </w:t>
      </w:r>
      <w:r w:rsidRPr="008F62AA">
        <w:rPr>
          <w:i/>
          <w:lang w:val="en-US"/>
        </w:rPr>
        <w:t>Mult Scler Relat Disord., 25</w:t>
      </w:r>
      <w:r w:rsidRPr="008F62AA">
        <w:rPr>
          <w:lang w:val="en-US"/>
        </w:rPr>
        <w:t>, 268–270</w:t>
      </w:r>
    </w:p>
    <w:p w:rsidR="008F62AA" w:rsidRPr="008F62AA" w:rsidRDefault="008F62AA" w:rsidP="00D102B8">
      <w:pPr>
        <w:rPr>
          <w:rStyle w:val="mixed-citation"/>
          <w:szCs w:val="24"/>
          <w:lang w:val="en-US"/>
        </w:rPr>
      </w:pPr>
      <w:r w:rsidRPr="008F62AA">
        <w:rPr>
          <w:rStyle w:val="mixed-citation"/>
          <w:szCs w:val="24"/>
          <w:lang w:val="en-US"/>
        </w:rPr>
        <w:t xml:space="preserve">Deloire, M.S, Ruet, A., Hamel, D., Bonnet, M., Dousset, V., Brochet, B. (2011). </w:t>
      </w:r>
      <w:r w:rsidRPr="008F62AA">
        <w:rPr>
          <w:rStyle w:val="ref-title"/>
          <w:szCs w:val="24"/>
          <w:lang w:val="en-US"/>
        </w:rPr>
        <w:t>MRI predictors of cognitive outcome in early multiple sclerosis</w:t>
      </w:r>
      <w:r w:rsidRPr="008F62AA">
        <w:rPr>
          <w:rStyle w:val="mixed-citation"/>
          <w:szCs w:val="24"/>
          <w:lang w:val="en-US"/>
        </w:rPr>
        <w:t xml:space="preserve">. </w:t>
      </w:r>
      <w:r w:rsidRPr="008F62AA">
        <w:rPr>
          <w:rStyle w:val="ref-journal"/>
          <w:i/>
          <w:szCs w:val="24"/>
          <w:lang w:val="en-US"/>
        </w:rPr>
        <w:t xml:space="preserve">Neurology, </w:t>
      </w:r>
      <w:r w:rsidRPr="008F62AA">
        <w:rPr>
          <w:rStyle w:val="ref-vol"/>
          <w:i/>
          <w:szCs w:val="24"/>
          <w:lang w:val="en-US"/>
        </w:rPr>
        <w:t xml:space="preserve">76, </w:t>
      </w:r>
      <w:r w:rsidRPr="008F62AA">
        <w:rPr>
          <w:rStyle w:val="mixed-citation"/>
          <w:szCs w:val="24"/>
          <w:lang w:val="en-US"/>
        </w:rPr>
        <w:t>1161–1167.</w:t>
      </w:r>
    </w:p>
    <w:p w:rsidR="008F62AA" w:rsidRPr="008F62AA" w:rsidRDefault="008F62AA" w:rsidP="00D102B8">
      <w:pPr>
        <w:rPr>
          <w:bCs/>
          <w:szCs w:val="24"/>
          <w:lang w:val="en-US"/>
        </w:rPr>
      </w:pPr>
      <w:r w:rsidRPr="008F62AA">
        <w:rPr>
          <w:bCs/>
          <w:szCs w:val="24"/>
          <w:lang w:val="en-US"/>
        </w:rPr>
        <w:t>Devic, E. (1894). Myélite subaiguë compliquée de névrite optique [</w:t>
      </w:r>
      <w:r w:rsidRPr="008F62AA">
        <w:rPr>
          <w:rStyle w:val="tlid-translation"/>
          <w:szCs w:val="24"/>
        </w:rPr>
        <w:t>Η</w:t>
      </w:r>
      <w:r w:rsidRPr="008F62AA">
        <w:rPr>
          <w:rStyle w:val="tlid-translation"/>
          <w:szCs w:val="24"/>
          <w:lang w:val="en-US"/>
        </w:rPr>
        <w:t xml:space="preserve"> </w:t>
      </w:r>
      <w:proofErr w:type="spellStart"/>
      <w:r w:rsidRPr="008F62AA">
        <w:rPr>
          <w:rStyle w:val="tlid-translation"/>
          <w:szCs w:val="24"/>
        </w:rPr>
        <w:t>υποξεία</w:t>
      </w:r>
      <w:proofErr w:type="spellEnd"/>
      <w:r w:rsidRPr="008F62AA">
        <w:rPr>
          <w:rStyle w:val="tlid-translation"/>
          <w:szCs w:val="24"/>
          <w:lang w:val="en-US"/>
        </w:rPr>
        <w:t xml:space="preserve"> </w:t>
      </w:r>
      <w:r w:rsidRPr="008F62AA">
        <w:rPr>
          <w:rStyle w:val="tlid-translation"/>
          <w:szCs w:val="24"/>
        </w:rPr>
        <w:t>μυελίτιδα</w:t>
      </w:r>
      <w:r w:rsidRPr="008F62AA">
        <w:rPr>
          <w:rStyle w:val="tlid-translation"/>
          <w:szCs w:val="24"/>
          <w:lang w:val="en-US"/>
        </w:rPr>
        <w:t xml:space="preserve"> </w:t>
      </w:r>
      <w:r w:rsidRPr="008F62AA">
        <w:rPr>
          <w:rStyle w:val="tlid-translation"/>
          <w:szCs w:val="24"/>
        </w:rPr>
        <w:t>περιπλέκεται</w:t>
      </w:r>
      <w:r w:rsidRPr="008F62AA">
        <w:rPr>
          <w:rStyle w:val="tlid-translation"/>
          <w:szCs w:val="24"/>
          <w:lang w:val="en-US"/>
        </w:rPr>
        <w:t xml:space="preserve"> </w:t>
      </w:r>
      <w:r w:rsidRPr="008F62AA">
        <w:rPr>
          <w:rStyle w:val="tlid-translation"/>
          <w:szCs w:val="24"/>
        </w:rPr>
        <w:t>με</w:t>
      </w:r>
      <w:r w:rsidRPr="008F62AA">
        <w:rPr>
          <w:rStyle w:val="tlid-translation"/>
          <w:szCs w:val="24"/>
          <w:lang w:val="en-US"/>
        </w:rPr>
        <w:t xml:space="preserve"> </w:t>
      </w:r>
      <w:r w:rsidRPr="008F62AA">
        <w:rPr>
          <w:rStyle w:val="tlid-translation"/>
          <w:szCs w:val="24"/>
        </w:rPr>
        <w:t>την</w:t>
      </w:r>
      <w:r w:rsidRPr="008F62AA">
        <w:rPr>
          <w:rStyle w:val="tlid-translation"/>
          <w:szCs w:val="24"/>
          <w:lang w:val="en-US"/>
        </w:rPr>
        <w:t xml:space="preserve"> </w:t>
      </w:r>
      <w:r w:rsidRPr="008F62AA">
        <w:rPr>
          <w:rStyle w:val="tlid-translation"/>
          <w:szCs w:val="24"/>
        </w:rPr>
        <w:t>οπτική</w:t>
      </w:r>
      <w:r w:rsidRPr="008F62AA">
        <w:rPr>
          <w:rStyle w:val="tlid-translation"/>
          <w:szCs w:val="24"/>
          <w:lang w:val="en-US"/>
        </w:rPr>
        <w:t xml:space="preserve"> </w:t>
      </w:r>
      <w:r w:rsidRPr="008F62AA">
        <w:rPr>
          <w:rStyle w:val="tlid-translation"/>
          <w:szCs w:val="24"/>
        </w:rPr>
        <w:t>νευρίτιδα</w:t>
      </w:r>
      <w:r w:rsidRPr="008F62AA">
        <w:rPr>
          <w:rStyle w:val="tlid-translation"/>
          <w:szCs w:val="24"/>
          <w:lang w:val="en-US"/>
        </w:rPr>
        <w:t>]</w:t>
      </w:r>
      <w:r w:rsidRPr="008F62AA">
        <w:rPr>
          <w:bCs/>
          <w:szCs w:val="24"/>
          <w:lang w:val="en-US"/>
        </w:rPr>
        <w:t xml:space="preserve">. </w:t>
      </w:r>
      <w:r w:rsidRPr="008F62AA">
        <w:rPr>
          <w:bCs/>
          <w:i/>
          <w:szCs w:val="24"/>
          <w:lang w:val="en-US"/>
        </w:rPr>
        <w:t>Bull Med (Paris), 8,</w:t>
      </w:r>
      <w:r w:rsidRPr="008F62AA">
        <w:rPr>
          <w:bCs/>
          <w:szCs w:val="24"/>
          <w:lang w:val="en-US"/>
        </w:rPr>
        <w:t xml:space="preserve"> 1033-1034. </w:t>
      </w:r>
    </w:p>
    <w:p w:rsidR="008F62AA" w:rsidRPr="008F62AA" w:rsidRDefault="008F62AA" w:rsidP="00D102B8">
      <w:pPr>
        <w:rPr>
          <w:szCs w:val="24"/>
          <w:lang w:val="en-US"/>
        </w:rPr>
      </w:pPr>
      <w:r w:rsidRPr="008F62AA">
        <w:rPr>
          <w:szCs w:val="24"/>
          <w:lang w:val="en-US"/>
        </w:rPr>
        <w:t xml:space="preserve">Di Stadio, A., Dipietro, L., Ralli, M., Greco, A., Ricci, G., Bernitsas, E. (2019). The role of vestibular evoked myogenic potentials in multiple sclerosis-related vertigo. A systematic review of the literature. </w:t>
      </w:r>
      <w:r w:rsidRPr="008F62AA">
        <w:rPr>
          <w:i/>
          <w:iCs/>
          <w:szCs w:val="24"/>
          <w:lang w:val="en-US"/>
        </w:rPr>
        <w:t>Mult Scler Relat Disord</w:t>
      </w:r>
      <w:r w:rsidRPr="008F62AA">
        <w:rPr>
          <w:szCs w:val="24"/>
          <w:lang w:val="en-US"/>
        </w:rPr>
        <w:t xml:space="preserve">. </w:t>
      </w:r>
      <w:r w:rsidRPr="008F62AA">
        <w:rPr>
          <w:i/>
          <w:szCs w:val="24"/>
          <w:lang w:val="en-US"/>
        </w:rPr>
        <w:t>28</w:t>
      </w:r>
      <w:r w:rsidRPr="008F62AA">
        <w:rPr>
          <w:szCs w:val="24"/>
          <w:lang w:val="en-US"/>
        </w:rPr>
        <w:t>, 159-164. doi:10.1016/j.msard.2018.12.031</w:t>
      </w:r>
    </w:p>
    <w:p w:rsidR="008F62AA" w:rsidRPr="008F62AA" w:rsidRDefault="008F62AA" w:rsidP="00D102B8">
      <w:pPr>
        <w:rPr>
          <w:bCs/>
          <w:szCs w:val="24"/>
          <w:lang w:val="en-US"/>
        </w:rPr>
      </w:pPr>
      <w:r w:rsidRPr="008F62AA">
        <w:rPr>
          <w:bCs/>
          <w:szCs w:val="24"/>
          <w:lang w:val="en-US"/>
        </w:rPr>
        <w:t xml:space="preserve">Dreschfeld, J. (1882). Acute myelitis associated with optic neuritis. </w:t>
      </w:r>
      <w:r w:rsidRPr="008F62AA">
        <w:rPr>
          <w:bCs/>
          <w:i/>
          <w:szCs w:val="24"/>
          <w:lang w:val="en-US"/>
        </w:rPr>
        <w:t>Lancet, 1</w:t>
      </w:r>
      <w:r w:rsidRPr="008F62AA">
        <w:rPr>
          <w:bCs/>
          <w:szCs w:val="24"/>
          <w:lang w:val="en-US"/>
        </w:rPr>
        <w:t xml:space="preserve">(8), 52-53.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Duchow, A., Paul F, Bellmann-Strobl J (2020) Current and emerging biologics for the treatment of neuromyelitis optica spectrum disorders. Expert Opin Biol Ther 13:1–12</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Elsone, L., Kitley, J., Luppe, S., Lythgoe, D., Mutch, K., Jacob, S. et al (2014). Long-term efficacy, tolerability and retention rate of azathioprine in 103 aquaporin-4 antibody-positive neuromyelitis optica spectrum disorder patients: a multicentre retrospective observational study from the UK. </w:t>
      </w:r>
      <w:r w:rsidRPr="008F62AA">
        <w:rPr>
          <w:i/>
          <w:lang w:val="en-US"/>
        </w:rPr>
        <w:t>Mult Scler 20</w:t>
      </w:r>
      <w:r w:rsidRPr="008F62AA">
        <w:rPr>
          <w:lang w:val="en-US"/>
        </w:rPr>
        <w:t>(11), 1533–1540</w:t>
      </w:r>
    </w:p>
    <w:p w:rsidR="008F62AA" w:rsidRPr="008F62AA" w:rsidRDefault="008F62AA" w:rsidP="00D102B8">
      <w:pPr>
        <w:rPr>
          <w:bCs/>
          <w:szCs w:val="24"/>
          <w:lang w:val="en-US"/>
        </w:rPr>
      </w:pPr>
      <w:r w:rsidRPr="008F62AA">
        <w:rPr>
          <w:bCs/>
          <w:szCs w:val="24"/>
          <w:lang w:val="en-US"/>
        </w:rPr>
        <w:t>Erb, W. (1879-1880). Über das Zusammenkommen von Neuritis optica und Myelitis subacute.</w:t>
      </w:r>
      <w:r w:rsidRPr="008F62AA">
        <w:rPr>
          <w:bCs/>
          <w:i/>
          <w:szCs w:val="24"/>
          <w:lang w:val="en-US"/>
        </w:rPr>
        <w:t xml:space="preserve"> Arch Psychiatr Nervenkr, 1</w:t>
      </w:r>
      <w:r w:rsidRPr="008F62AA">
        <w:rPr>
          <w:bCs/>
          <w:szCs w:val="24"/>
          <w:lang w:val="en-US"/>
        </w:rPr>
        <w:t xml:space="preserve">, 146-157.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lastRenderedPageBreak/>
        <w:t xml:space="preserve">Falcini, F., Trapani, S., Ricci, L., Resti, M., Simonini, G., de Martino, M. (2006). Sustained improvement of a girl affected with Devic's disease over 2 years of mycophenolate mofetil treatment. </w:t>
      </w:r>
      <w:r w:rsidRPr="008F62AA">
        <w:rPr>
          <w:i/>
          <w:lang w:val="en-US"/>
        </w:rPr>
        <w:t>Rheumatology (Oxford), 45</w:t>
      </w:r>
      <w:r w:rsidRPr="008F62AA">
        <w:rPr>
          <w:lang w:val="en-US"/>
        </w:rPr>
        <w:t>(7), 913–915.</w:t>
      </w:r>
    </w:p>
    <w:p w:rsidR="008F62AA" w:rsidRPr="008F62AA" w:rsidRDefault="008F62AA" w:rsidP="00D102B8">
      <w:pPr>
        <w:rPr>
          <w:szCs w:val="24"/>
          <w:lang w:val="en-US"/>
        </w:rPr>
      </w:pPr>
      <w:r w:rsidRPr="008F62AA">
        <w:rPr>
          <w:szCs w:val="24"/>
          <w:lang w:val="en-US"/>
        </w:rPr>
        <w:t xml:space="preserve">Fernandez, O. (2010). </w:t>
      </w:r>
      <w:r w:rsidRPr="008F62AA">
        <w:rPr>
          <w:i/>
          <w:szCs w:val="24"/>
          <w:lang w:val="en-US"/>
        </w:rPr>
        <w:t>MS clinical forms and variants</w:t>
      </w:r>
      <w:r w:rsidRPr="008F62AA">
        <w:rPr>
          <w:szCs w:val="24"/>
          <w:lang w:val="en-US"/>
        </w:rPr>
        <w:t>. Instituto de Neyrociencias Clinicas- Hospital Regional Universitario Carlos Haya, Malaga.</w:t>
      </w:r>
    </w:p>
    <w:p w:rsidR="008F62AA" w:rsidRPr="008F62AA" w:rsidRDefault="008F62AA" w:rsidP="00D102B8">
      <w:pPr>
        <w:rPr>
          <w:szCs w:val="24"/>
          <w:lang w:val="en-US"/>
        </w:rPr>
      </w:pPr>
      <w:r w:rsidRPr="008F62AA">
        <w:rPr>
          <w:rStyle w:val="mixed-citation"/>
          <w:szCs w:val="24"/>
          <w:lang w:val="en-US"/>
        </w:rPr>
        <w:t xml:space="preserve">Flachenecker, P., Henze, T., &amp; Zettl, U.K. (2014). </w:t>
      </w:r>
      <w:r w:rsidRPr="008F62AA">
        <w:rPr>
          <w:rStyle w:val="ref-title"/>
          <w:szCs w:val="24"/>
          <w:lang w:val="en-US"/>
        </w:rPr>
        <w:t>Spasticity in patients with multiple sclerosis–clinical characteristics, treatment and quality of life</w:t>
      </w:r>
      <w:r w:rsidRPr="008F62AA">
        <w:rPr>
          <w:rStyle w:val="mixed-citation"/>
          <w:szCs w:val="24"/>
          <w:lang w:val="en-US"/>
        </w:rPr>
        <w:t xml:space="preserve">. </w:t>
      </w:r>
      <w:r w:rsidRPr="008F62AA">
        <w:rPr>
          <w:rStyle w:val="ref-journal"/>
          <w:i/>
          <w:szCs w:val="24"/>
          <w:lang w:val="en-US"/>
        </w:rPr>
        <w:t xml:space="preserve">Acta Neurol Scand., </w:t>
      </w:r>
      <w:r w:rsidRPr="008F62AA">
        <w:rPr>
          <w:rStyle w:val="ref-vol"/>
          <w:i/>
          <w:szCs w:val="24"/>
          <w:lang w:val="en-US"/>
        </w:rPr>
        <w:t xml:space="preserve">129, </w:t>
      </w:r>
      <w:r w:rsidRPr="008F62AA">
        <w:rPr>
          <w:rStyle w:val="mixed-citation"/>
          <w:szCs w:val="24"/>
          <w:lang w:val="en-US"/>
        </w:rPr>
        <w:t>154–62.</w:t>
      </w:r>
    </w:p>
    <w:p w:rsidR="008F62AA" w:rsidRPr="008F62AA" w:rsidRDefault="008F62AA" w:rsidP="00D102B8">
      <w:pPr>
        <w:rPr>
          <w:bCs/>
          <w:szCs w:val="24"/>
          <w:lang w:val="en-US"/>
        </w:rPr>
      </w:pPr>
      <w:r w:rsidRPr="008F62AA">
        <w:rPr>
          <w:bCs/>
          <w:szCs w:val="24"/>
          <w:lang w:val="en-US"/>
        </w:rPr>
        <w:t xml:space="preserve">Flachenecker, P., Kobelt, G., Berg, J., Capsa, D., &amp; Gannedahl, M. (2017). New insights into the burden and costs of multiple sclerosis in Europe: Results for Germany. </w:t>
      </w:r>
      <w:r w:rsidRPr="008F62AA">
        <w:rPr>
          <w:bCs/>
          <w:i/>
          <w:szCs w:val="24"/>
          <w:lang w:val="en-US"/>
        </w:rPr>
        <w:t>Multiple Sclerosis Journal, 23</w:t>
      </w:r>
      <w:r w:rsidRPr="008F62AA">
        <w:rPr>
          <w:bCs/>
          <w:szCs w:val="24"/>
          <w:lang w:val="en-US"/>
        </w:rPr>
        <w:t xml:space="preserve">(2), 78–90. </w:t>
      </w:r>
    </w:p>
    <w:p w:rsidR="008F62AA" w:rsidRPr="008F62AA" w:rsidRDefault="008F62AA" w:rsidP="00D102B8">
      <w:pPr>
        <w:autoSpaceDE w:val="0"/>
        <w:autoSpaceDN w:val="0"/>
        <w:adjustRightInd w:val="0"/>
        <w:rPr>
          <w:szCs w:val="24"/>
          <w:lang w:val="en-US" w:eastAsia="el-GR"/>
        </w:rPr>
      </w:pPr>
      <w:r w:rsidRPr="008F62AA">
        <w:rPr>
          <w:szCs w:val="24"/>
          <w:lang w:val="en-US" w:eastAsia="el-GR"/>
        </w:rPr>
        <w:t>Flanagan, E., Cabre, P., Weinshenker, B.</w:t>
      </w:r>
      <w:r w:rsidRPr="008F62AA">
        <w:rPr>
          <w:i/>
          <w:iCs/>
          <w:szCs w:val="24"/>
          <w:lang w:val="en-US" w:eastAsia="el-GR"/>
        </w:rPr>
        <w:t>, et al</w:t>
      </w:r>
      <w:r w:rsidRPr="008F62AA">
        <w:rPr>
          <w:szCs w:val="24"/>
          <w:lang w:val="en-US" w:eastAsia="el-GR"/>
        </w:rPr>
        <w:t xml:space="preserve">. (2016). Epidemiology of aquaporin-4 autoimmunity and neuromyelitis optica spectrum. </w:t>
      </w:r>
      <w:r w:rsidRPr="008F62AA">
        <w:rPr>
          <w:i/>
          <w:iCs/>
          <w:szCs w:val="24"/>
          <w:lang w:val="en-US" w:eastAsia="el-GR"/>
        </w:rPr>
        <w:t>Ann Neurol</w:t>
      </w:r>
      <w:r w:rsidRPr="008F62AA">
        <w:rPr>
          <w:szCs w:val="24"/>
          <w:lang w:val="en-US" w:eastAsia="el-GR"/>
        </w:rPr>
        <w:t xml:space="preserve">. </w:t>
      </w:r>
      <w:r w:rsidRPr="008F62AA">
        <w:rPr>
          <w:i/>
          <w:szCs w:val="24"/>
          <w:lang w:val="en-US" w:eastAsia="el-GR"/>
        </w:rPr>
        <w:t>79</w:t>
      </w:r>
      <w:r w:rsidRPr="008F62AA">
        <w:rPr>
          <w:szCs w:val="24"/>
          <w:lang w:val="en-US" w:eastAsia="el-GR"/>
        </w:rPr>
        <w:t>(5).</w:t>
      </w:r>
    </w:p>
    <w:p w:rsidR="008F62AA" w:rsidRPr="008F62AA" w:rsidRDefault="008F62AA" w:rsidP="00D102B8">
      <w:pPr>
        <w:autoSpaceDE w:val="0"/>
        <w:autoSpaceDN w:val="0"/>
        <w:adjustRightInd w:val="0"/>
        <w:rPr>
          <w:szCs w:val="24"/>
          <w:lang w:val="en-US" w:eastAsia="el-GR"/>
        </w:rPr>
      </w:pPr>
      <w:r w:rsidRPr="008F62AA">
        <w:rPr>
          <w:szCs w:val="24"/>
          <w:lang w:val="en-US" w:eastAsia="el-GR"/>
        </w:rPr>
        <w:t xml:space="preserve">Flanagan, E.P., Weinshenker, B.G., Krecke, K.N., Lennon, V.A., Lucchinetti, C.F., McKeon, A., Wingerchuk, D.M., Shuster, E.A., Jiao, Y., Horta, E.S. &amp; Pittock, S.J. (2015). Short myelitis lesions in aquaporin-4-IgG-positive neuromyelitis optica spectrum disorders. </w:t>
      </w:r>
      <w:r w:rsidRPr="008F62AA">
        <w:rPr>
          <w:i/>
          <w:szCs w:val="24"/>
          <w:lang w:val="en-US" w:eastAsia="el-GR"/>
        </w:rPr>
        <w:t>JAMA Neurol., 72</w:t>
      </w:r>
      <w:r w:rsidRPr="008F62AA">
        <w:rPr>
          <w:szCs w:val="24"/>
          <w:lang w:val="en-US" w:eastAsia="el-GR"/>
        </w:rPr>
        <w:t>, 81-87.</w:t>
      </w:r>
    </w:p>
    <w:p w:rsidR="008F62AA" w:rsidRPr="008F62AA" w:rsidRDefault="008F62AA" w:rsidP="00D102B8">
      <w:pPr>
        <w:rPr>
          <w:szCs w:val="24"/>
          <w:lang w:val="en-US"/>
        </w:rPr>
      </w:pPr>
      <w:r w:rsidRPr="008F62AA">
        <w:rPr>
          <w:szCs w:val="24"/>
          <w:lang w:val="en-US"/>
        </w:rPr>
        <w:t xml:space="preserve">Forsberg, An. &amp; Koch, L. &amp; Nilsagård, Yl.. (2016). Effects on Balance and Walking with the CoDuSe Balance Exercise Program in People with Multiple Sclerosis: A Multicenter Randomized Controlled Trial. Multiple Sclerosis International., 1-10. 10.1155/2016/7076265.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Fragoso, Y.D., Sousa, N.A.C., Alves-Leon, S.V., Dias, R.M., Pimentel, M.L.V., Gomes, S. et al (2019). Clinical characteristics of 153 Brazilian patients with neuromyelitis optica spectrum disorder (NMOSD). </w:t>
      </w:r>
      <w:r w:rsidRPr="008F62AA">
        <w:rPr>
          <w:i/>
          <w:lang w:val="en-US"/>
        </w:rPr>
        <w:t>Mult Scler Relat Disord 27</w:t>
      </w:r>
      <w:r w:rsidRPr="008F62AA">
        <w:rPr>
          <w:lang w:val="en-US"/>
        </w:rPr>
        <w:t>, 392–396</w:t>
      </w:r>
    </w:p>
    <w:p w:rsidR="008F62AA" w:rsidRPr="008F62AA" w:rsidRDefault="008F62AA" w:rsidP="00D102B8">
      <w:pPr>
        <w:rPr>
          <w:szCs w:val="24"/>
          <w:lang w:val="en-US"/>
        </w:rPr>
      </w:pPr>
      <w:r w:rsidRPr="008F62AA">
        <w:rPr>
          <w:szCs w:val="24"/>
          <w:lang w:val="en-US"/>
        </w:rPr>
        <w:t xml:space="preserve">Frostell A, Hakim R, Thelin EP, Mattsson P, Svensson M. (2016). A Review of the Segmental Diameter of the Healthy Human Spinal Cord. </w:t>
      </w:r>
      <w:r w:rsidRPr="008F62AA">
        <w:rPr>
          <w:i/>
          <w:szCs w:val="24"/>
          <w:lang w:val="en-US"/>
        </w:rPr>
        <w:t xml:space="preserve">Front Neurol., 7, </w:t>
      </w:r>
      <w:r w:rsidRPr="008F62AA">
        <w:rPr>
          <w:szCs w:val="24"/>
          <w:lang w:val="en-US"/>
        </w:rPr>
        <w:t xml:space="preserve">238. </w:t>
      </w:r>
    </w:p>
    <w:p w:rsidR="008F62AA" w:rsidRPr="008F62AA" w:rsidRDefault="008F62AA" w:rsidP="00D102B8">
      <w:pPr>
        <w:rPr>
          <w:bCs/>
          <w:szCs w:val="24"/>
          <w:lang w:val="en-US"/>
        </w:rPr>
      </w:pPr>
      <w:r w:rsidRPr="008F62AA">
        <w:rPr>
          <w:bCs/>
          <w:szCs w:val="24"/>
          <w:lang w:val="en-US"/>
        </w:rPr>
        <w:t xml:space="preserve">Fujihara, K. (2011). Neuromyelitis optica and astrocytic damage in its pathogenesis. J Neurol Sci., </w:t>
      </w:r>
      <w:r w:rsidRPr="008F62AA">
        <w:rPr>
          <w:bCs/>
          <w:i/>
          <w:szCs w:val="24"/>
          <w:lang w:val="en-US"/>
        </w:rPr>
        <w:t>306</w:t>
      </w:r>
      <w:r w:rsidRPr="008F62AA">
        <w:rPr>
          <w:bCs/>
          <w:szCs w:val="24"/>
          <w:lang w:val="en-US"/>
        </w:rPr>
        <w:t>, 183-187.</w:t>
      </w:r>
    </w:p>
    <w:p w:rsidR="008F62AA" w:rsidRPr="008F62AA" w:rsidRDefault="008F62AA" w:rsidP="00D102B8">
      <w:pPr>
        <w:rPr>
          <w:bCs/>
          <w:szCs w:val="24"/>
          <w:lang w:val="en-US"/>
        </w:rPr>
      </w:pPr>
      <w:r w:rsidRPr="008F62AA">
        <w:rPr>
          <w:bCs/>
          <w:szCs w:val="24"/>
          <w:lang w:val="en-US"/>
        </w:rPr>
        <w:t xml:space="preserve">Gault, F. (1894). </w:t>
      </w:r>
      <w:r w:rsidRPr="008F62AA">
        <w:rPr>
          <w:bCs/>
          <w:i/>
          <w:szCs w:val="24"/>
          <w:lang w:val="en-US"/>
        </w:rPr>
        <w:t>De la neuromyélite optique aiguë [</w:t>
      </w:r>
      <w:r w:rsidRPr="008F62AA">
        <w:rPr>
          <w:rStyle w:val="tlid-translation"/>
          <w:i/>
          <w:szCs w:val="24"/>
        </w:rPr>
        <w:t>Οξεία</w:t>
      </w:r>
      <w:r w:rsidRPr="008F62AA">
        <w:rPr>
          <w:rStyle w:val="tlid-translation"/>
          <w:i/>
          <w:szCs w:val="24"/>
          <w:lang w:val="en-US"/>
        </w:rPr>
        <w:t xml:space="preserve"> </w:t>
      </w:r>
      <w:r w:rsidRPr="008F62AA">
        <w:rPr>
          <w:rStyle w:val="tlid-translation"/>
          <w:i/>
          <w:szCs w:val="24"/>
        </w:rPr>
        <w:t>οπτική</w:t>
      </w:r>
      <w:r w:rsidRPr="008F62AA">
        <w:rPr>
          <w:rStyle w:val="tlid-translation"/>
          <w:i/>
          <w:szCs w:val="24"/>
          <w:lang w:val="en-US"/>
        </w:rPr>
        <w:t xml:space="preserve"> </w:t>
      </w:r>
      <w:r w:rsidRPr="008F62AA">
        <w:rPr>
          <w:rStyle w:val="tlid-translation"/>
          <w:i/>
          <w:szCs w:val="24"/>
        </w:rPr>
        <w:t>νευρομυελίτιδα</w:t>
      </w:r>
      <w:r w:rsidRPr="008F62AA">
        <w:rPr>
          <w:rStyle w:val="tlid-translation"/>
          <w:i/>
          <w:szCs w:val="24"/>
          <w:lang w:val="en-US"/>
        </w:rPr>
        <w:t>]</w:t>
      </w:r>
      <w:r w:rsidRPr="008F62AA">
        <w:rPr>
          <w:bCs/>
          <w:i/>
          <w:szCs w:val="24"/>
          <w:lang w:val="en-US"/>
        </w:rPr>
        <w:t>.</w:t>
      </w:r>
      <w:r w:rsidRPr="008F62AA">
        <w:rPr>
          <w:bCs/>
          <w:szCs w:val="24"/>
          <w:lang w:val="en-US"/>
        </w:rPr>
        <w:t xml:space="preserve"> Thèse. Lyon, France. </w:t>
      </w:r>
    </w:p>
    <w:p w:rsidR="008F62AA" w:rsidRPr="008F62AA" w:rsidRDefault="008F62AA" w:rsidP="00D102B8">
      <w:pPr>
        <w:rPr>
          <w:bCs/>
          <w:szCs w:val="24"/>
          <w:lang w:val="en-US"/>
        </w:rPr>
      </w:pPr>
      <w:r w:rsidRPr="008F62AA">
        <w:rPr>
          <w:bCs/>
          <w:szCs w:val="24"/>
          <w:lang w:val="en-US"/>
        </w:rPr>
        <w:lastRenderedPageBreak/>
        <w:t xml:space="preserve">Gholamzad, M., Ebtekar, M., Shafiee Ard., Azimi, M., et al. (2018). A comprehensive review on the treatment approaches of multiple sclerosis; currently and in the future. </w:t>
      </w:r>
      <w:r w:rsidRPr="008F62AA">
        <w:rPr>
          <w:bCs/>
          <w:i/>
          <w:szCs w:val="24"/>
          <w:lang w:val="en-US"/>
        </w:rPr>
        <w:t>Inflammation Research</w:t>
      </w:r>
      <w:r w:rsidR="002B692B">
        <w:rPr>
          <w:bCs/>
          <w:szCs w:val="24"/>
        </w:rPr>
        <w:t>,</w:t>
      </w:r>
      <w:r w:rsidRPr="008F62AA">
        <w:rPr>
          <w:bCs/>
          <w:szCs w:val="24"/>
          <w:lang w:val="en-US"/>
        </w:rPr>
        <w:t xml:space="preserve"> </w:t>
      </w:r>
      <w:r w:rsidRPr="002B692B">
        <w:rPr>
          <w:bCs/>
          <w:i/>
          <w:szCs w:val="24"/>
          <w:lang w:val="en-US"/>
        </w:rPr>
        <w:t>10</w:t>
      </w:r>
      <w:r w:rsidRPr="008F62AA">
        <w:rPr>
          <w:bCs/>
          <w:szCs w:val="24"/>
          <w:lang w:val="en-US"/>
        </w:rPr>
        <w:t>.</w:t>
      </w:r>
    </w:p>
    <w:p w:rsidR="008F62AA" w:rsidRPr="008F62AA" w:rsidRDefault="008F62AA" w:rsidP="00D102B8">
      <w:pPr>
        <w:rPr>
          <w:bCs/>
          <w:szCs w:val="24"/>
          <w:lang w:val="en-US"/>
        </w:rPr>
      </w:pPr>
      <w:r w:rsidRPr="008F62AA">
        <w:rPr>
          <w:bCs/>
          <w:szCs w:val="24"/>
          <w:lang w:val="en-US"/>
        </w:rPr>
        <w:t xml:space="preserve">Gold, R., Kappos, L., Arnold, D.L., et al. (2012). DEFINE Study Investigators. Placebo-controlled phase 3 study of oral BG-12 for relapsing multiple sclerosis. </w:t>
      </w:r>
      <w:r w:rsidRPr="008F62AA">
        <w:rPr>
          <w:bCs/>
          <w:i/>
          <w:iCs/>
          <w:szCs w:val="24"/>
          <w:lang w:val="en-US"/>
        </w:rPr>
        <w:t>N Engl J Med</w:t>
      </w:r>
      <w:r w:rsidRPr="008F62AA">
        <w:rPr>
          <w:bCs/>
          <w:szCs w:val="24"/>
          <w:lang w:val="en-US"/>
        </w:rPr>
        <w:t xml:space="preserve"> </w:t>
      </w:r>
      <w:r w:rsidRPr="008F62AA">
        <w:rPr>
          <w:bCs/>
          <w:i/>
          <w:szCs w:val="24"/>
          <w:lang w:val="en-US"/>
        </w:rPr>
        <w:t>367,</w:t>
      </w:r>
      <w:r w:rsidRPr="008F62AA">
        <w:rPr>
          <w:bCs/>
          <w:szCs w:val="24"/>
          <w:lang w:val="en-US"/>
        </w:rPr>
        <w:t xml:space="preserve"> 1098-1107.</w:t>
      </w:r>
    </w:p>
    <w:p w:rsidR="008F62AA" w:rsidRPr="008F62AA" w:rsidRDefault="008F62AA" w:rsidP="00D102B8">
      <w:pPr>
        <w:rPr>
          <w:rStyle w:val="element-citation"/>
          <w:szCs w:val="24"/>
          <w:lang w:val="en-US"/>
        </w:rPr>
      </w:pPr>
      <w:r w:rsidRPr="008F62AA">
        <w:rPr>
          <w:rStyle w:val="element-citation"/>
          <w:szCs w:val="24"/>
          <w:lang w:val="en-US"/>
        </w:rPr>
        <w:t xml:space="preserve">Goldenberg, M.M. (2012). Multiple Sclerosis Review. </w:t>
      </w:r>
      <w:r w:rsidRPr="008F62AA">
        <w:rPr>
          <w:rStyle w:val="element-citation"/>
          <w:i/>
          <w:szCs w:val="24"/>
          <w:lang w:val="en-US"/>
        </w:rPr>
        <w:t>Pharmacy and Therapeutics, 37</w:t>
      </w:r>
      <w:r w:rsidRPr="008F62AA">
        <w:rPr>
          <w:rStyle w:val="element-citation"/>
          <w:szCs w:val="24"/>
          <w:lang w:val="en-US"/>
        </w:rPr>
        <w:t>(3), 175-184.</w:t>
      </w:r>
    </w:p>
    <w:p w:rsidR="008F62AA" w:rsidRPr="008F62AA" w:rsidRDefault="008F62AA" w:rsidP="00D102B8">
      <w:pPr>
        <w:rPr>
          <w:bCs/>
          <w:szCs w:val="24"/>
          <w:lang w:val="en-US"/>
        </w:rPr>
      </w:pPr>
      <w:r w:rsidRPr="008F62AA">
        <w:rPr>
          <w:bCs/>
          <w:szCs w:val="24"/>
          <w:lang w:val="en-US"/>
        </w:rPr>
        <w:t>Goodin, D.S., Reder, A.T., Ebers, G.C., et al. (2012). Survival in MS: a randomized cohort study 21 years after the start of the pivotal IFN</w:t>
      </w:r>
      <w:r w:rsidRPr="008F62AA">
        <w:rPr>
          <w:bCs/>
          <w:szCs w:val="24"/>
        </w:rPr>
        <w:t>β</w:t>
      </w:r>
      <w:r w:rsidRPr="008F62AA">
        <w:rPr>
          <w:bCs/>
          <w:szCs w:val="24"/>
          <w:lang w:val="en-US"/>
        </w:rPr>
        <w:t xml:space="preserve">-1b trial. </w:t>
      </w:r>
      <w:r w:rsidRPr="008F62AA">
        <w:rPr>
          <w:bCs/>
          <w:i/>
          <w:iCs/>
          <w:szCs w:val="24"/>
          <w:lang w:val="en-US"/>
        </w:rPr>
        <w:t xml:space="preserve">Neurology </w:t>
      </w:r>
      <w:r w:rsidRPr="008F62AA">
        <w:rPr>
          <w:bCs/>
          <w:i/>
          <w:szCs w:val="24"/>
          <w:lang w:val="en-US"/>
        </w:rPr>
        <w:t>78</w:t>
      </w:r>
      <w:r w:rsidRPr="008F62AA">
        <w:rPr>
          <w:bCs/>
          <w:szCs w:val="24"/>
          <w:lang w:val="en-US"/>
        </w:rPr>
        <w:t>, 1315-1322.</w:t>
      </w:r>
    </w:p>
    <w:p w:rsidR="008F62AA" w:rsidRPr="008F62AA" w:rsidRDefault="008F62AA" w:rsidP="00D102B8">
      <w:pPr>
        <w:rPr>
          <w:bCs/>
          <w:szCs w:val="24"/>
          <w:lang w:val="en-US"/>
        </w:rPr>
      </w:pPr>
      <w:r w:rsidRPr="008F62AA">
        <w:rPr>
          <w:bCs/>
          <w:szCs w:val="24"/>
          <w:lang w:val="en-US"/>
        </w:rPr>
        <w:t xml:space="preserve">Goulden, C. (1914). Optic neuritis and myelitis. </w:t>
      </w:r>
      <w:r w:rsidRPr="008F62AA">
        <w:rPr>
          <w:bCs/>
          <w:i/>
          <w:szCs w:val="24"/>
          <w:lang w:val="en-US"/>
        </w:rPr>
        <w:t xml:space="preserve">Opthalmol Rev, 34, </w:t>
      </w:r>
      <w:r w:rsidRPr="008F62AA">
        <w:rPr>
          <w:bCs/>
          <w:szCs w:val="24"/>
          <w:lang w:val="en-US"/>
        </w:rPr>
        <w:t>193-209.</w:t>
      </w:r>
    </w:p>
    <w:p w:rsidR="008F62AA" w:rsidRPr="008F62AA" w:rsidRDefault="008F62AA" w:rsidP="00D102B8">
      <w:pPr>
        <w:rPr>
          <w:szCs w:val="24"/>
          <w:lang w:val="en-US"/>
        </w:rPr>
      </w:pPr>
      <w:r w:rsidRPr="008F62AA">
        <w:rPr>
          <w:szCs w:val="24"/>
          <w:lang w:val="en-US"/>
        </w:rPr>
        <w:t xml:space="preserve">Gunn, H., Creanor, S., Haas, B., Marsden, J. &amp; Freeman, J. (2014). Frequency, characteristics, and consequences of falls in multiple sclerosis: findings from a cohort study, </w:t>
      </w:r>
      <w:r w:rsidRPr="008F62AA">
        <w:rPr>
          <w:i/>
          <w:iCs/>
          <w:szCs w:val="24"/>
          <w:lang w:val="en-US"/>
        </w:rPr>
        <w:t>Archives of Physical Medicine and Rehabilitation</w:t>
      </w:r>
      <w:r w:rsidRPr="008F62AA">
        <w:rPr>
          <w:szCs w:val="24"/>
          <w:lang w:val="en-US"/>
        </w:rPr>
        <w:t>,</w:t>
      </w:r>
      <w:r w:rsidRPr="008F62AA">
        <w:rPr>
          <w:i/>
          <w:szCs w:val="24"/>
          <w:lang w:val="en-US"/>
        </w:rPr>
        <w:t xml:space="preserve"> 95</w:t>
      </w:r>
      <w:r w:rsidRPr="008F62AA">
        <w:rPr>
          <w:szCs w:val="24"/>
          <w:lang w:val="en-US"/>
        </w:rPr>
        <w:t>(3), 538–545.</w:t>
      </w:r>
    </w:p>
    <w:p w:rsidR="008F62AA" w:rsidRPr="008F62AA" w:rsidRDefault="008F62AA" w:rsidP="00D102B8">
      <w:pPr>
        <w:rPr>
          <w:szCs w:val="24"/>
          <w:lang w:val="en-US"/>
        </w:rPr>
      </w:pPr>
      <w:r w:rsidRPr="008F62AA">
        <w:rPr>
          <w:szCs w:val="24"/>
          <w:lang w:val="en-US"/>
        </w:rPr>
        <w:t xml:space="preserve">Hainfellner, J.A., Schmidbauer, M., Schmutzhard, E., Maier, H., Budka, H. (1992). Devic’s neuromyelitis optica and Schilder’s myelinoclastic diffuse sclerosis. </w:t>
      </w:r>
      <w:r w:rsidRPr="008F62AA">
        <w:rPr>
          <w:i/>
          <w:szCs w:val="24"/>
          <w:lang w:val="en-US"/>
        </w:rPr>
        <w:t>J Neurol Neurosurg Psychiatry 55</w:t>
      </w:r>
      <w:r w:rsidRPr="008F62AA">
        <w:rPr>
          <w:szCs w:val="24"/>
          <w:lang w:val="en-US"/>
        </w:rPr>
        <w:t xml:space="preserve">, 1194–1196. </w:t>
      </w:r>
    </w:p>
    <w:p w:rsidR="008F62AA" w:rsidRPr="008F62AA" w:rsidRDefault="008F62AA" w:rsidP="00D102B8">
      <w:pPr>
        <w:rPr>
          <w:bCs/>
          <w:szCs w:val="24"/>
          <w:lang w:val="en-US"/>
        </w:rPr>
      </w:pPr>
      <w:r w:rsidRPr="008F62AA">
        <w:rPr>
          <w:bCs/>
          <w:szCs w:val="24"/>
          <w:lang w:val="en-US"/>
        </w:rPr>
        <w:t>Hassin, G.B. (1937). Neuroptica myelitis versus multiple sclerosis: a patholog</w:t>
      </w:r>
      <w:r w:rsidRPr="008F62AA">
        <w:rPr>
          <w:bCs/>
          <w:szCs w:val="24"/>
          <w:lang w:val="en-US"/>
        </w:rPr>
        <w:softHyphen/>
        <w:t xml:space="preserve">ic study. </w:t>
      </w:r>
      <w:r w:rsidRPr="008F62AA">
        <w:rPr>
          <w:bCs/>
          <w:i/>
          <w:szCs w:val="24"/>
          <w:lang w:val="en-US"/>
        </w:rPr>
        <w:t xml:space="preserve">Arch Neurol Psychiatry, 37, </w:t>
      </w:r>
      <w:r w:rsidRPr="008F62AA">
        <w:rPr>
          <w:bCs/>
          <w:szCs w:val="24"/>
          <w:lang w:val="en-US"/>
        </w:rPr>
        <w:t>1083-1099.</w:t>
      </w:r>
    </w:p>
    <w:p w:rsidR="008F62AA" w:rsidRPr="008F62AA" w:rsidRDefault="008F62AA" w:rsidP="00D102B8">
      <w:pPr>
        <w:rPr>
          <w:rStyle w:val="mixed-citation"/>
          <w:szCs w:val="24"/>
        </w:rPr>
      </w:pPr>
      <w:r w:rsidRPr="008F62AA">
        <w:rPr>
          <w:rStyle w:val="mixed-citation"/>
          <w:szCs w:val="24"/>
          <w:lang w:val="en-US"/>
        </w:rPr>
        <w:t xml:space="preserve">Heller M, Taylor D. </w:t>
      </w:r>
      <w:r w:rsidRPr="008F62AA">
        <w:rPr>
          <w:rStyle w:val="ref-journal"/>
          <w:szCs w:val="24"/>
          <w:lang w:val="en-US"/>
        </w:rPr>
        <w:t>Greater Expectations: The Future Hopes of People With Multiple Sclerosis</w:t>
      </w:r>
      <w:r w:rsidRPr="008F62AA">
        <w:rPr>
          <w:rStyle w:val="mixed-citation"/>
          <w:szCs w:val="24"/>
          <w:lang w:val="en-US"/>
        </w:rPr>
        <w:t xml:space="preserve">. </w:t>
      </w:r>
      <w:r w:rsidRPr="008F62AA">
        <w:rPr>
          <w:rStyle w:val="mixed-citation"/>
          <w:szCs w:val="24"/>
        </w:rPr>
        <w:t xml:space="preserve">(2017). Διαθέσιμο </w:t>
      </w:r>
      <w:r w:rsidRPr="008F62AA">
        <w:rPr>
          <w:rStyle w:val="mixed-citation"/>
          <w:szCs w:val="24"/>
          <w:lang w:val="en-US"/>
        </w:rPr>
        <w:t>online</w:t>
      </w:r>
      <w:r w:rsidRPr="008F62AA">
        <w:rPr>
          <w:rStyle w:val="mixed-citation"/>
          <w:szCs w:val="24"/>
        </w:rPr>
        <w:t xml:space="preserve"> στο: </w:t>
      </w:r>
      <w:hyperlink r:id="rId18" w:tgtFrame="_blank" w:history="1">
        <w:r w:rsidRPr="008F62AA">
          <w:rPr>
            <w:rStyle w:val="-"/>
            <w:szCs w:val="24"/>
            <w:lang w:val="en-US"/>
          </w:rPr>
          <w:t>https</w:t>
        </w:r>
        <w:r w:rsidRPr="008F62AA">
          <w:rPr>
            <w:rStyle w:val="-"/>
            <w:szCs w:val="24"/>
          </w:rPr>
          <w:t>://</w:t>
        </w:r>
        <w:r w:rsidRPr="008F62AA">
          <w:rPr>
            <w:rStyle w:val="-"/>
            <w:szCs w:val="24"/>
            <w:lang w:val="en-US"/>
          </w:rPr>
          <w:t>pdfs</w:t>
        </w:r>
        <w:r w:rsidRPr="008F62AA">
          <w:rPr>
            <w:rStyle w:val="-"/>
            <w:szCs w:val="24"/>
          </w:rPr>
          <w:t>.</w:t>
        </w:r>
        <w:r w:rsidRPr="008F62AA">
          <w:rPr>
            <w:rStyle w:val="-"/>
            <w:szCs w:val="24"/>
            <w:lang w:val="en-US"/>
          </w:rPr>
          <w:t>semanticscholar</w:t>
        </w:r>
        <w:r w:rsidRPr="008F62AA">
          <w:rPr>
            <w:rStyle w:val="-"/>
            <w:szCs w:val="24"/>
          </w:rPr>
          <w:t>.</w:t>
        </w:r>
        <w:r w:rsidRPr="008F62AA">
          <w:rPr>
            <w:rStyle w:val="-"/>
            <w:szCs w:val="24"/>
            <w:lang w:val="en-US"/>
          </w:rPr>
          <w:t>org</w:t>
        </w:r>
        <w:r w:rsidRPr="008F62AA">
          <w:rPr>
            <w:rStyle w:val="-"/>
            <w:szCs w:val="24"/>
          </w:rPr>
          <w:t>/866</w:t>
        </w:r>
        <w:r w:rsidRPr="008F62AA">
          <w:rPr>
            <w:rStyle w:val="-"/>
            <w:szCs w:val="24"/>
            <w:lang w:val="en-US"/>
          </w:rPr>
          <w:t>a</w:t>
        </w:r>
        <w:r w:rsidRPr="008F62AA">
          <w:rPr>
            <w:rStyle w:val="-"/>
            <w:szCs w:val="24"/>
          </w:rPr>
          <w:t>/959</w:t>
        </w:r>
        <w:r w:rsidRPr="008F62AA">
          <w:rPr>
            <w:rStyle w:val="-"/>
            <w:szCs w:val="24"/>
            <w:lang w:val="en-US"/>
          </w:rPr>
          <w:t>d</w:t>
        </w:r>
        <w:r w:rsidRPr="008F62AA">
          <w:rPr>
            <w:rStyle w:val="-"/>
            <w:szCs w:val="24"/>
          </w:rPr>
          <w:t>88</w:t>
        </w:r>
        <w:r w:rsidRPr="008F62AA">
          <w:rPr>
            <w:rStyle w:val="-"/>
            <w:szCs w:val="24"/>
            <w:lang w:val="en-US"/>
          </w:rPr>
          <w:t>a</w:t>
        </w:r>
        <w:r w:rsidRPr="008F62AA">
          <w:rPr>
            <w:rStyle w:val="-"/>
            <w:szCs w:val="24"/>
          </w:rPr>
          <w:t>224883</w:t>
        </w:r>
        <w:r w:rsidRPr="008F62AA">
          <w:rPr>
            <w:rStyle w:val="-"/>
            <w:szCs w:val="24"/>
            <w:lang w:val="en-US"/>
          </w:rPr>
          <w:t>f</w:t>
        </w:r>
        <w:r w:rsidRPr="008F62AA">
          <w:rPr>
            <w:rStyle w:val="-"/>
            <w:szCs w:val="24"/>
          </w:rPr>
          <w:t>7</w:t>
        </w:r>
        <w:r w:rsidRPr="008F62AA">
          <w:rPr>
            <w:rStyle w:val="-"/>
            <w:szCs w:val="24"/>
            <w:lang w:val="en-US"/>
          </w:rPr>
          <w:t>e</w:t>
        </w:r>
        <w:r w:rsidRPr="008F62AA">
          <w:rPr>
            <w:rStyle w:val="-"/>
            <w:szCs w:val="24"/>
          </w:rPr>
          <w:t>9</w:t>
        </w:r>
        <w:r w:rsidRPr="008F62AA">
          <w:rPr>
            <w:rStyle w:val="-"/>
            <w:szCs w:val="24"/>
            <w:lang w:val="en-US"/>
          </w:rPr>
          <w:t>dd</w:t>
        </w:r>
        <w:r w:rsidRPr="008F62AA">
          <w:rPr>
            <w:rStyle w:val="-"/>
            <w:szCs w:val="24"/>
          </w:rPr>
          <w:t>5</w:t>
        </w:r>
        <w:r w:rsidRPr="008F62AA">
          <w:rPr>
            <w:rStyle w:val="-"/>
            <w:szCs w:val="24"/>
            <w:lang w:val="en-US"/>
          </w:rPr>
          <w:t>ddbec</w:t>
        </w:r>
        <w:r w:rsidRPr="008F62AA">
          <w:rPr>
            <w:rStyle w:val="-"/>
            <w:szCs w:val="24"/>
          </w:rPr>
          <w:t>31017</w:t>
        </w:r>
        <w:r w:rsidRPr="008F62AA">
          <w:rPr>
            <w:rStyle w:val="-"/>
            <w:szCs w:val="24"/>
            <w:lang w:val="en-US"/>
          </w:rPr>
          <w:t>f</w:t>
        </w:r>
        <w:r w:rsidRPr="008F62AA">
          <w:rPr>
            <w:rStyle w:val="-"/>
            <w:szCs w:val="24"/>
          </w:rPr>
          <w:t>36</w:t>
        </w:r>
        <w:r w:rsidRPr="008F62AA">
          <w:rPr>
            <w:rStyle w:val="-"/>
            <w:szCs w:val="24"/>
            <w:lang w:val="en-US"/>
          </w:rPr>
          <w:t>bac</w:t>
        </w:r>
        <w:r w:rsidRPr="008F62AA">
          <w:rPr>
            <w:rStyle w:val="-"/>
            <w:szCs w:val="24"/>
          </w:rPr>
          <w:t>.</w:t>
        </w:r>
        <w:r w:rsidRPr="008F62AA">
          <w:rPr>
            <w:rStyle w:val="-"/>
            <w:szCs w:val="24"/>
            <w:lang w:val="en-US"/>
          </w:rPr>
          <w:t>pdf</w:t>
        </w:r>
      </w:hyperlink>
      <w:r w:rsidRPr="008F62AA">
        <w:rPr>
          <w:rStyle w:val="mixed-citation"/>
          <w:szCs w:val="24"/>
        </w:rPr>
        <w:t>, [12/8/2020].</w:t>
      </w:r>
    </w:p>
    <w:p w:rsidR="008F62AA" w:rsidRPr="008F62AA" w:rsidRDefault="008F62AA" w:rsidP="00D102B8">
      <w:pPr>
        <w:rPr>
          <w:szCs w:val="24"/>
          <w:lang w:val="en-US"/>
        </w:rPr>
      </w:pPr>
      <w:r w:rsidRPr="008F62AA">
        <w:rPr>
          <w:szCs w:val="24"/>
          <w:lang w:val="en-US"/>
        </w:rPr>
        <w:t xml:space="preserve">Hemmer, B., Cepok, S., Nessler, St. &amp; Sommer, N. (2002). Pathogenesis of multiple sclerosis: An update on immunology. </w:t>
      </w:r>
      <w:r w:rsidRPr="008F62AA">
        <w:rPr>
          <w:i/>
          <w:szCs w:val="24"/>
          <w:lang w:val="en-US"/>
        </w:rPr>
        <w:t>Current opinion in neurology, 15</w:t>
      </w:r>
      <w:r w:rsidRPr="008F62AA">
        <w:rPr>
          <w:szCs w:val="24"/>
          <w:lang w:val="en-US"/>
        </w:rPr>
        <w:t xml:space="preserve">, 227-31. </w:t>
      </w:r>
    </w:p>
    <w:p w:rsidR="008F62AA" w:rsidRPr="008F62AA" w:rsidRDefault="008F62AA" w:rsidP="00D102B8">
      <w:pPr>
        <w:rPr>
          <w:rStyle w:val="mixed-citation"/>
          <w:szCs w:val="24"/>
          <w:lang w:val="en-US"/>
        </w:rPr>
      </w:pPr>
      <w:r w:rsidRPr="008F62AA">
        <w:rPr>
          <w:rStyle w:val="mixed-citation"/>
          <w:szCs w:val="24"/>
          <w:lang w:val="en-US"/>
        </w:rPr>
        <w:t xml:space="preserve">Hoorbakht, H. &amp; Bagherkashi, F. (2012). Optic Neuritis, its Differential Diagnosis and Management. </w:t>
      </w:r>
      <w:r w:rsidRPr="008F62AA">
        <w:rPr>
          <w:rStyle w:val="mixed-citation"/>
          <w:i/>
          <w:szCs w:val="24"/>
          <w:lang w:val="en-US"/>
        </w:rPr>
        <w:t>The open ophthalmology journal, 6</w:t>
      </w:r>
      <w:r w:rsidRPr="008F62AA">
        <w:rPr>
          <w:rStyle w:val="mixed-citation"/>
          <w:szCs w:val="24"/>
          <w:lang w:val="en-US"/>
        </w:rPr>
        <w:t xml:space="preserve">. 65-72.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Huang, W., Wang, L., Zhang, B., Zhou, L., Zhang, T., Quan, C. (2019). Effectiveness and tolerability of immunosuppressants and monoclonal antibodies in preventive treatment of neuromyelitis optica spectrum disorders: a systematic review and network meta-analysis. </w:t>
      </w:r>
      <w:r w:rsidRPr="008F62AA">
        <w:rPr>
          <w:i/>
          <w:lang w:val="en-US"/>
        </w:rPr>
        <w:t>Mult Scler Relat Disord 35</w:t>
      </w:r>
      <w:r w:rsidRPr="008F62AA">
        <w:rPr>
          <w:lang w:val="en-US"/>
        </w:rPr>
        <w:t>, 246–252</w:t>
      </w:r>
    </w:p>
    <w:p w:rsidR="008F62AA" w:rsidRPr="008F62AA" w:rsidRDefault="008F62AA" w:rsidP="00D102B8">
      <w:pPr>
        <w:rPr>
          <w:szCs w:val="24"/>
          <w:lang w:val="en-US"/>
        </w:rPr>
      </w:pPr>
      <w:r w:rsidRPr="008F62AA">
        <w:rPr>
          <w:szCs w:val="24"/>
          <w:lang w:val="en-US"/>
        </w:rPr>
        <w:lastRenderedPageBreak/>
        <w:t xml:space="preserve">Hvid, L.G. , Suetta, C., Nielsen, J.H., Jensen, M.M., Frandsen, U., Ørtenblad, N., Kjaer, M. &amp; Aagaard, P. (2014). Aging impairs the recovery inmechanical muscle function following 4 days of disuse. </w:t>
      </w:r>
      <w:r w:rsidRPr="008F62AA">
        <w:rPr>
          <w:i/>
          <w:szCs w:val="24"/>
          <w:lang w:val="en-US"/>
        </w:rPr>
        <w:t>Exp. Gerontol., 52</w:t>
      </w:r>
      <w:r w:rsidRPr="008F62AA">
        <w:rPr>
          <w:szCs w:val="24"/>
          <w:lang w:val="en-US"/>
        </w:rPr>
        <w:t>. 1–8.</w:t>
      </w:r>
    </w:p>
    <w:p w:rsidR="008F62AA" w:rsidRPr="008F62AA" w:rsidRDefault="008F62AA" w:rsidP="00D102B8">
      <w:pPr>
        <w:rPr>
          <w:szCs w:val="24"/>
          <w:lang w:val="en-US"/>
        </w:rPr>
      </w:pPr>
      <w:r w:rsidRPr="008F62AA">
        <w:rPr>
          <w:szCs w:val="24"/>
          <w:lang w:val="en-US"/>
        </w:rPr>
        <w:t xml:space="preserve">Imtiaz, S., Siddiqui, M. &amp; Arsalan Ahm. (2015). Marburg variant of multiple sclerosis; a diagnostic and therapeutic challenge. </w:t>
      </w:r>
      <w:r w:rsidRPr="008F62AA">
        <w:rPr>
          <w:i/>
          <w:iCs/>
          <w:szCs w:val="24"/>
          <w:lang w:val="en-US"/>
        </w:rPr>
        <w:t>Pakistan Journal of Neurological Sciences (PJNS)</w:t>
      </w:r>
      <w:r w:rsidRPr="008F62AA">
        <w:rPr>
          <w:szCs w:val="24"/>
          <w:lang w:val="en-US"/>
        </w:rPr>
        <w:t>,</w:t>
      </w:r>
      <w:r w:rsidRPr="008F62AA">
        <w:rPr>
          <w:i/>
          <w:szCs w:val="24"/>
          <w:lang w:val="en-US"/>
        </w:rPr>
        <w:t xml:space="preserve"> </w:t>
      </w:r>
      <w:r w:rsidRPr="008F62AA">
        <w:rPr>
          <w:szCs w:val="24"/>
          <w:lang w:val="en-US"/>
        </w:rPr>
        <w:t xml:space="preserve">10(2), 9. </w:t>
      </w:r>
      <w:r w:rsidRPr="008F62AA">
        <w:rPr>
          <w:szCs w:val="24"/>
        </w:rPr>
        <w:t>Διαθέσιμο</w:t>
      </w:r>
      <w:r w:rsidRPr="008F62AA">
        <w:rPr>
          <w:szCs w:val="24"/>
          <w:lang w:val="en-US"/>
        </w:rPr>
        <w:t xml:space="preserve"> Online </w:t>
      </w:r>
      <w:r w:rsidRPr="008F62AA">
        <w:rPr>
          <w:szCs w:val="24"/>
        </w:rPr>
        <w:t>στο</w:t>
      </w:r>
      <w:r w:rsidRPr="008F62AA">
        <w:rPr>
          <w:szCs w:val="24"/>
          <w:lang w:val="en-US"/>
        </w:rPr>
        <w:t xml:space="preserve">: </w:t>
      </w:r>
      <w:hyperlink r:id="rId19" w:history="1">
        <w:r w:rsidRPr="008F62AA">
          <w:rPr>
            <w:rStyle w:val="-"/>
            <w:szCs w:val="24"/>
            <w:lang w:val="en-US"/>
          </w:rPr>
          <w:t>http://ecommons.aku.edu/pjns/vol10/iss2/9</w:t>
        </w:r>
      </w:hyperlink>
      <w:r w:rsidRPr="008F62AA">
        <w:rPr>
          <w:szCs w:val="24"/>
          <w:lang w:val="en-US"/>
        </w:rPr>
        <w:t>, [15/6/2020].</w:t>
      </w:r>
    </w:p>
    <w:p w:rsidR="008F62AA" w:rsidRPr="008F62AA" w:rsidRDefault="008F62AA" w:rsidP="00D102B8">
      <w:pPr>
        <w:autoSpaceDE w:val="0"/>
        <w:autoSpaceDN w:val="0"/>
        <w:adjustRightInd w:val="0"/>
        <w:rPr>
          <w:szCs w:val="24"/>
          <w:lang w:val="en-US" w:eastAsia="el-GR"/>
        </w:rPr>
      </w:pPr>
      <w:r w:rsidRPr="008F62AA">
        <w:rPr>
          <w:szCs w:val="24"/>
          <w:lang w:val="en-US" w:eastAsia="el-GR"/>
        </w:rPr>
        <w:t>Ito, S., Mori, M., Makino, T.</w:t>
      </w:r>
      <w:r w:rsidRPr="008F62AA">
        <w:rPr>
          <w:i/>
          <w:iCs/>
          <w:szCs w:val="24"/>
          <w:lang w:val="en-US" w:eastAsia="el-GR"/>
        </w:rPr>
        <w:t>, et al</w:t>
      </w:r>
      <w:r w:rsidRPr="008F62AA">
        <w:rPr>
          <w:szCs w:val="24"/>
          <w:lang w:val="en-US" w:eastAsia="el-GR"/>
        </w:rPr>
        <w:t xml:space="preserve">. (2009). “Cloud-like enhancement” is a magnetic resonance imaging abnormality specific to neuromyelitis optica. </w:t>
      </w:r>
      <w:r w:rsidRPr="008F62AA">
        <w:rPr>
          <w:i/>
          <w:iCs/>
          <w:szCs w:val="24"/>
          <w:lang w:val="en-US" w:eastAsia="el-GR"/>
        </w:rPr>
        <w:t>Ann Neurol</w:t>
      </w:r>
      <w:r w:rsidRPr="008F62AA">
        <w:rPr>
          <w:szCs w:val="24"/>
          <w:lang w:val="en-US" w:eastAsia="el-GR"/>
        </w:rPr>
        <w:t xml:space="preserve">., </w:t>
      </w:r>
      <w:r w:rsidRPr="008F62AA">
        <w:rPr>
          <w:i/>
          <w:szCs w:val="24"/>
          <w:lang w:val="en-US" w:eastAsia="el-GR"/>
        </w:rPr>
        <w:t>66</w:t>
      </w:r>
      <w:r w:rsidRPr="008F62AA">
        <w:rPr>
          <w:szCs w:val="24"/>
          <w:lang w:val="en-US" w:eastAsia="el-GR"/>
        </w:rPr>
        <w:t>, 425–428.</w:t>
      </w:r>
    </w:p>
    <w:p w:rsidR="008F62AA" w:rsidRPr="008F62AA" w:rsidRDefault="008F62AA" w:rsidP="00D102B8">
      <w:pPr>
        <w:rPr>
          <w:bCs/>
          <w:iCs/>
          <w:szCs w:val="24"/>
          <w:lang w:val="en-US"/>
        </w:rPr>
      </w:pPr>
      <w:r w:rsidRPr="008F62AA">
        <w:rPr>
          <w:bCs/>
          <w:iCs/>
          <w:szCs w:val="24"/>
          <w:lang w:val="en-US"/>
        </w:rPr>
        <w:t xml:space="preserve">Jarius, S. Paul, F. Franciotta, D. De Seze, J. Münch,M. Salvetti, C. et al., (2012). Neuromyelitis optica spectrum disorders in patients with myasthenia gravis: ten new aquaporin- 4 antibody positive cases and a review of the literature, </w:t>
      </w:r>
      <w:r w:rsidRPr="008F62AA">
        <w:rPr>
          <w:bCs/>
          <w:i/>
          <w:iCs/>
          <w:szCs w:val="24"/>
          <w:lang w:val="en-US"/>
        </w:rPr>
        <w:t>Mult. Scler. 18</w:t>
      </w:r>
      <w:r w:rsidRPr="008F62AA">
        <w:rPr>
          <w:bCs/>
          <w:iCs/>
          <w:szCs w:val="24"/>
          <w:lang w:val="en-US"/>
        </w:rPr>
        <w:t>, 1135–1143.</w:t>
      </w:r>
    </w:p>
    <w:p w:rsidR="008F62AA" w:rsidRPr="008F62AA" w:rsidRDefault="008F62AA" w:rsidP="00D102B8">
      <w:pPr>
        <w:rPr>
          <w:bCs/>
          <w:iCs/>
          <w:szCs w:val="24"/>
          <w:lang w:val="en-US"/>
        </w:rPr>
      </w:pPr>
      <w:r w:rsidRPr="008F62AA">
        <w:rPr>
          <w:bCs/>
          <w:iCs/>
          <w:szCs w:val="24"/>
          <w:lang w:val="en-US"/>
        </w:rPr>
        <w:t xml:space="preserve">Jarius, S. Wildemann, B. (2013). The history of neuromyelitis optica, </w:t>
      </w:r>
      <w:r w:rsidRPr="008F62AA">
        <w:rPr>
          <w:bCs/>
          <w:i/>
          <w:iCs/>
          <w:szCs w:val="24"/>
          <w:lang w:val="en-US"/>
        </w:rPr>
        <w:t>J. Neuroinflammation 10,</w:t>
      </w:r>
      <w:r w:rsidRPr="008F62AA">
        <w:rPr>
          <w:bCs/>
          <w:iCs/>
          <w:szCs w:val="24"/>
          <w:lang w:val="en-US"/>
        </w:rPr>
        <w:t xml:space="preserve"> 8. </w:t>
      </w:r>
    </w:p>
    <w:p w:rsidR="008F62AA" w:rsidRPr="008F62AA" w:rsidRDefault="008F62AA" w:rsidP="00D102B8">
      <w:pPr>
        <w:rPr>
          <w:bCs/>
          <w:i/>
          <w:iCs/>
          <w:szCs w:val="24"/>
          <w:lang w:val="en-US"/>
        </w:rPr>
      </w:pPr>
      <w:r w:rsidRPr="008F62AA">
        <w:rPr>
          <w:bCs/>
          <w:iCs/>
          <w:szCs w:val="24"/>
          <w:lang w:val="en-US"/>
        </w:rPr>
        <w:t xml:space="preserve">Jarius, S., Wildermann, B. &amp; Paul, F. (2014). Neuromyelitis optica: clinical features, immunopathogenesis and treatment. </w:t>
      </w:r>
      <w:r w:rsidRPr="008F62AA">
        <w:rPr>
          <w:bCs/>
          <w:i/>
          <w:iCs/>
          <w:szCs w:val="24"/>
          <w:lang w:val="en-US"/>
        </w:rPr>
        <w:t>Clin Exp Immunol., 176</w:t>
      </w:r>
      <w:r w:rsidRPr="008F62AA">
        <w:rPr>
          <w:bCs/>
          <w:iCs/>
          <w:szCs w:val="24"/>
          <w:lang w:val="en-US"/>
        </w:rPr>
        <w:t>(2), 149-64.</w:t>
      </w:r>
      <w:r w:rsidRPr="008F62AA">
        <w:rPr>
          <w:bCs/>
          <w:i/>
          <w:iCs/>
          <w:szCs w:val="24"/>
          <w:lang w:val="en-US"/>
        </w:rPr>
        <w:t xml:space="preserve">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Jharap, B., de Boer ,N.K., Stokkers, P., Hommes, D.W., Oldenburg, B., Dijkstra, G. et al (2014). Intrauterine exposure and pharmacology of conventional thiopurine therapy in pregnant patients with inflammatory bowel disease. </w:t>
      </w:r>
      <w:r w:rsidRPr="008F62AA">
        <w:rPr>
          <w:i/>
          <w:lang w:val="en-US"/>
        </w:rPr>
        <w:t>Gut., 63</w:t>
      </w:r>
      <w:r w:rsidRPr="008F62AA">
        <w:rPr>
          <w:lang w:val="en-US"/>
        </w:rPr>
        <w:t>(3), 451–457</w:t>
      </w:r>
    </w:p>
    <w:p w:rsidR="008F62AA" w:rsidRPr="008F62AA" w:rsidRDefault="008F62AA" w:rsidP="00D102B8">
      <w:pPr>
        <w:rPr>
          <w:szCs w:val="24"/>
          <w:lang w:val="en-US"/>
        </w:rPr>
      </w:pPr>
      <w:r w:rsidRPr="008F62AA">
        <w:rPr>
          <w:szCs w:val="24"/>
          <w:lang w:val="en-US"/>
        </w:rPr>
        <w:t xml:space="preserve">Jørgensen, M.L.K., Dalgas, Ul., Wens, In. Hvid, L. (2017). Muscle strength and power in persons with multiple sclerosis – A systematic review and meta-analysis. </w:t>
      </w:r>
      <w:r w:rsidRPr="008F62AA">
        <w:rPr>
          <w:i/>
          <w:szCs w:val="24"/>
          <w:lang w:val="en-US"/>
        </w:rPr>
        <w:t>Journal of the Neurological Sciences., 376</w:t>
      </w:r>
      <w:r w:rsidRPr="008F62AA">
        <w:rPr>
          <w:szCs w:val="24"/>
          <w:lang w:val="en-US"/>
        </w:rPr>
        <w:t xml:space="preserve">.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Kageyama, T., Komori, M., Miyamoto, K., Ozaki, A., Suenaga, T., Takahashi, R. et al (2013). Combination of cyclosporine A with corticosteroids is effective for the treatment of neuromyelitis optica. </w:t>
      </w:r>
      <w:r w:rsidRPr="008F62AA">
        <w:rPr>
          <w:i/>
          <w:lang w:val="en-US"/>
        </w:rPr>
        <w:t>J Neurol., 260</w:t>
      </w:r>
      <w:r w:rsidRPr="008F62AA">
        <w:rPr>
          <w:lang w:val="en-US"/>
        </w:rPr>
        <w:t>(2):, 627–634.</w:t>
      </w:r>
    </w:p>
    <w:p w:rsidR="008F62AA" w:rsidRPr="008F62AA" w:rsidRDefault="008F62AA" w:rsidP="00D102B8">
      <w:pPr>
        <w:rPr>
          <w:szCs w:val="24"/>
          <w:lang w:val="en-US"/>
        </w:rPr>
      </w:pPr>
      <w:r w:rsidRPr="008F62AA">
        <w:rPr>
          <w:szCs w:val="24"/>
          <w:lang w:val="en-US"/>
        </w:rPr>
        <w:t xml:space="preserve">Kamińska J, Koper OM, Piechal K, Kemona H. (2017). Multiple sclerosis - etiology and diagnostic potential. </w:t>
      </w:r>
      <w:r w:rsidRPr="008F62AA">
        <w:rPr>
          <w:i/>
          <w:iCs/>
          <w:szCs w:val="24"/>
          <w:lang w:val="en-US"/>
        </w:rPr>
        <w:t>Postepy Hig Med Dosw (Online)</w:t>
      </w:r>
      <w:r w:rsidRPr="008F62AA">
        <w:rPr>
          <w:szCs w:val="24"/>
          <w:lang w:val="en-US"/>
        </w:rPr>
        <w:t>, 71(0), 551-563. doi:10.5604/01.3001.0010.3836</w:t>
      </w:r>
    </w:p>
    <w:p w:rsidR="008F62AA" w:rsidRPr="008F62AA" w:rsidRDefault="008F62AA" w:rsidP="00D102B8">
      <w:pPr>
        <w:autoSpaceDE w:val="0"/>
        <w:autoSpaceDN w:val="0"/>
        <w:adjustRightInd w:val="0"/>
        <w:rPr>
          <w:szCs w:val="24"/>
          <w:lang w:val="en-US" w:eastAsia="el-GR"/>
        </w:rPr>
      </w:pPr>
      <w:r w:rsidRPr="008F62AA">
        <w:rPr>
          <w:szCs w:val="24"/>
          <w:lang w:val="en-US"/>
        </w:rPr>
        <w:t xml:space="preserve">Kapina, </w:t>
      </w:r>
      <w:r w:rsidRPr="008F62AA">
        <w:rPr>
          <w:szCs w:val="24"/>
        </w:rPr>
        <w:t>Β</w:t>
      </w:r>
      <w:r w:rsidRPr="008F62AA">
        <w:rPr>
          <w:iCs/>
          <w:szCs w:val="24"/>
          <w:lang w:val="en-US"/>
        </w:rPr>
        <w:t>. (2009). The working ability of patients suffering from MS: Correlation of</w:t>
      </w:r>
      <w:r w:rsidRPr="008F62AA">
        <w:rPr>
          <w:i/>
          <w:iCs/>
          <w:szCs w:val="24"/>
          <w:lang w:val="en-US"/>
        </w:rPr>
        <w:t xml:space="preserve"> clinical, psychological and neuroradiological parameters.</w:t>
      </w:r>
      <w:r w:rsidRPr="008F62AA">
        <w:rPr>
          <w:szCs w:val="24"/>
          <w:lang w:val="en-US"/>
        </w:rPr>
        <w:t xml:space="preserve"> Ph. D. Thesis. Faculty of Medicine. Aristotle University of Thessaloniki.</w:t>
      </w:r>
    </w:p>
    <w:p w:rsidR="008F62AA" w:rsidRPr="008F62AA" w:rsidRDefault="008F62AA" w:rsidP="00D102B8">
      <w:pPr>
        <w:rPr>
          <w:rStyle w:val="mixed-citation"/>
          <w:szCs w:val="24"/>
          <w:lang w:val="en-US"/>
        </w:rPr>
      </w:pPr>
      <w:r w:rsidRPr="008F62AA">
        <w:rPr>
          <w:rStyle w:val="mixed-citation"/>
          <w:szCs w:val="24"/>
          <w:lang w:val="en-US"/>
        </w:rPr>
        <w:lastRenderedPageBreak/>
        <w:t xml:space="preserve">Kheder, Am. &amp; Nair, Kr.. (2012). Spasticity: Pathophysiology, evaluation and management. </w:t>
      </w:r>
      <w:r w:rsidRPr="008F62AA">
        <w:rPr>
          <w:rStyle w:val="mixed-citation"/>
          <w:i/>
          <w:szCs w:val="24"/>
          <w:lang w:val="en-US"/>
        </w:rPr>
        <w:t>Practical neurology. 12,</w:t>
      </w:r>
      <w:r w:rsidRPr="008F62AA">
        <w:rPr>
          <w:rStyle w:val="mixed-citation"/>
          <w:szCs w:val="24"/>
          <w:lang w:val="en-US"/>
        </w:rPr>
        <w:t xml:space="preserve"> 289-98. </w:t>
      </w:r>
    </w:p>
    <w:p w:rsidR="008F62AA" w:rsidRPr="008F62AA" w:rsidRDefault="008F62AA" w:rsidP="00D102B8">
      <w:pPr>
        <w:rPr>
          <w:bCs/>
          <w:szCs w:val="24"/>
          <w:lang w:val="en-US"/>
        </w:rPr>
      </w:pPr>
      <w:r w:rsidRPr="008F62AA">
        <w:rPr>
          <w:bCs/>
          <w:szCs w:val="24"/>
          <w:lang w:val="en-US"/>
        </w:rPr>
        <w:t xml:space="preserve">Kieseier, B.C., Arnold, D.L., Balcer, L.J., et al. (2014). Peginterferon beta-1a in multiple sclerosis: 2-year results from ADVANCE. </w:t>
      </w:r>
      <w:r w:rsidRPr="008F62AA">
        <w:rPr>
          <w:bCs/>
          <w:i/>
          <w:iCs/>
          <w:szCs w:val="24"/>
          <w:lang w:val="en-US"/>
        </w:rPr>
        <w:t>Mult Scler</w:t>
      </w:r>
      <w:r w:rsidRPr="008F62AA">
        <w:rPr>
          <w:bCs/>
          <w:szCs w:val="24"/>
          <w:lang w:val="en-US"/>
        </w:rPr>
        <w:t xml:space="preserve"> </w:t>
      </w:r>
      <w:r w:rsidRPr="008F62AA">
        <w:rPr>
          <w:rStyle w:val="cit"/>
          <w:i/>
          <w:szCs w:val="24"/>
          <w:lang w:val="en-US"/>
        </w:rPr>
        <w:t>21</w:t>
      </w:r>
      <w:r w:rsidRPr="008F62AA">
        <w:rPr>
          <w:rStyle w:val="cit"/>
          <w:szCs w:val="24"/>
          <w:lang w:val="en-US"/>
        </w:rPr>
        <w:t>(8):1025-35</w:t>
      </w:r>
      <w:r w:rsidRPr="008F62AA">
        <w:rPr>
          <w:bCs/>
          <w:szCs w:val="24"/>
          <w:lang w:val="en-US"/>
        </w:rPr>
        <w:t>.</w:t>
      </w:r>
    </w:p>
    <w:p w:rsidR="008F62AA" w:rsidRPr="008F62AA" w:rsidRDefault="008F62AA" w:rsidP="00D102B8">
      <w:pPr>
        <w:autoSpaceDE w:val="0"/>
        <w:autoSpaceDN w:val="0"/>
        <w:adjustRightInd w:val="0"/>
        <w:rPr>
          <w:szCs w:val="24"/>
          <w:lang w:val="en-US" w:eastAsia="el-GR"/>
        </w:rPr>
      </w:pPr>
      <w:r w:rsidRPr="008F62AA">
        <w:rPr>
          <w:szCs w:val="24"/>
          <w:lang w:val="en-US" w:eastAsia="el-GR"/>
        </w:rPr>
        <w:t>Kim, H. J., Paul, F., Lana-Peixoto, M.A.</w:t>
      </w:r>
      <w:r w:rsidRPr="008F62AA">
        <w:rPr>
          <w:i/>
          <w:iCs/>
          <w:szCs w:val="24"/>
          <w:lang w:val="en-US" w:eastAsia="el-GR"/>
        </w:rPr>
        <w:t>, et al</w:t>
      </w:r>
      <w:r w:rsidRPr="008F62AA">
        <w:rPr>
          <w:szCs w:val="24"/>
          <w:lang w:val="en-US" w:eastAsia="el-GR"/>
        </w:rPr>
        <w:t xml:space="preserve">. (2015).MRI characteristics of neuromyelitis optica spectrum disorder: an international update. </w:t>
      </w:r>
      <w:r w:rsidRPr="008F62AA">
        <w:rPr>
          <w:i/>
          <w:iCs/>
          <w:szCs w:val="24"/>
          <w:lang w:val="en-US" w:eastAsia="el-GR"/>
        </w:rPr>
        <w:t xml:space="preserve">Neurology, </w:t>
      </w:r>
      <w:r w:rsidRPr="008F62AA">
        <w:rPr>
          <w:i/>
          <w:szCs w:val="24"/>
          <w:lang w:val="en-US" w:eastAsia="el-GR"/>
        </w:rPr>
        <w:t>84</w:t>
      </w:r>
      <w:r w:rsidRPr="008F62AA">
        <w:rPr>
          <w:szCs w:val="24"/>
          <w:lang w:val="en-US" w:eastAsia="el-GR"/>
        </w:rPr>
        <w:t>, 1165–1173.</w:t>
      </w:r>
    </w:p>
    <w:p w:rsidR="008F62AA" w:rsidRPr="008F62AA" w:rsidRDefault="008F62AA" w:rsidP="00D102B8">
      <w:pPr>
        <w:autoSpaceDE w:val="0"/>
        <w:autoSpaceDN w:val="0"/>
        <w:adjustRightInd w:val="0"/>
        <w:rPr>
          <w:szCs w:val="24"/>
          <w:lang w:val="en-US" w:eastAsia="el-GR"/>
        </w:rPr>
      </w:pPr>
      <w:r w:rsidRPr="008F62AA">
        <w:rPr>
          <w:szCs w:val="24"/>
          <w:lang w:val="en-US" w:eastAsia="el-GR"/>
        </w:rPr>
        <w:t>Kim, S., Kim, W., Li, X.</w:t>
      </w:r>
      <w:r w:rsidRPr="008F62AA">
        <w:rPr>
          <w:i/>
          <w:iCs/>
          <w:szCs w:val="24"/>
          <w:lang w:val="en-US" w:eastAsia="el-GR"/>
        </w:rPr>
        <w:t>, et al</w:t>
      </w:r>
      <w:r w:rsidRPr="008F62AA">
        <w:rPr>
          <w:szCs w:val="24"/>
          <w:lang w:val="en-US" w:eastAsia="el-GR"/>
        </w:rPr>
        <w:t xml:space="preserve">. (2012). Clinical spectrum of CNS aquaporin-4 autoimmunity. </w:t>
      </w:r>
      <w:r w:rsidRPr="008F62AA">
        <w:rPr>
          <w:i/>
          <w:iCs/>
          <w:szCs w:val="24"/>
          <w:lang w:val="en-US" w:eastAsia="el-GR"/>
        </w:rPr>
        <w:t xml:space="preserve">Neurology, </w:t>
      </w:r>
      <w:r w:rsidRPr="008F62AA">
        <w:rPr>
          <w:i/>
          <w:szCs w:val="24"/>
          <w:lang w:val="en-US" w:eastAsia="el-GR"/>
        </w:rPr>
        <w:t>78</w:t>
      </w:r>
      <w:r w:rsidRPr="008F62AA">
        <w:rPr>
          <w:szCs w:val="24"/>
          <w:lang w:val="en-US" w:eastAsia="el-GR"/>
        </w:rPr>
        <w:t>, 1179–1185.</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Kim, S.H., Kim, W., Park, M.S., Sohn, E.H., Li, X.F., Kim, H.J. (2011). Efficacy and safety of mitoxantrone in patients with highly relapsing neuromyelitis optica. </w:t>
      </w:r>
      <w:r w:rsidRPr="008F62AA">
        <w:rPr>
          <w:i/>
          <w:lang w:val="en-US"/>
        </w:rPr>
        <w:t>Arch Neurol., 68</w:t>
      </w:r>
      <w:r w:rsidRPr="008F62AA">
        <w:rPr>
          <w:lang w:val="en-US"/>
        </w:rPr>
        <w:t>(4), 473–479.</w:t>
      </w:r>
    </w:p>
    <w:p w:rsidR="008F62AA" w:rsidRPr="008F62AA" w:rsidRDefault="008F62AA" w:rsidP="00D102B8">
      <w:pPr>
        <w:autoSpaceDE w:val="0"/>
        <w:autoSpaceDN w:val="0"/>
        <w:adjustRightInd w:val="0"/>
        <w:rPr>
          <w:szCs w:val="24"/>
          <w:lang w:val="en-US" w:eastAsia="el-GR"/>
        </w:rPr>
      </w:pPr>
      <w:r w:rsidRPr="008F62AA">
        <w:rPr>
          <w:szCs w:val="24"/>
          <w:lang w:val="en-US" w:eastAsia="el-GR"/>
        </w:rPr>
        <w:t>Kim, S.M., Go, M.J., Sung, J.J.</w:t>
      </w:r>
      <w:r w:rsidRPr="008F62AA">
        <w:rPr>
          <w:i/>
          <w:iCs/>
          <w:szCs w:val="24"/>
          <w:lang w:val="en-US" w:eastAsia="el-GR"/>
        </w:rPr>
        <w:t>, et al</w:t>
      </w:r>
      <w:r w:rsidRPr="008F62AA">
        <w:rPr>
          <w:szCs w:val="24"/>
          <w:lang w:val="en-US" w:eastAsia="el-GR"/>
        </w:rPr>
        <w:t xml:space="preserve">. (2012). Painful tonic spasm in neuromyelitis optica: incidence, diagnostic utility, and clinical characteristics. </w:t>
      </w:r>
      <w:r w:rsidRPr="008F62AA">
        <w:rPr>
          <w:i/>
          <w:iCs/>
          <w:szCs w:val="24"/>
          <w:lang w:val="en-US" w:eastAsia="el-GR"/>
        </w:rPr>
        <w:t>Arch Neurol</w:t>
      </w:r>
      <w:r w:rsidRPr="008F62AA">
        <w:rPr>
          <w:szCs w:val="24"/>
          <w:lang w:val="en-US" w:eastAsia="el-GR"/>
        </w:rPr>
        <w:t>.,</w:t>
      </w:r>
      <w:r w:rsidRPr="008F62AA">
        <w:rPr>
          <w:i/>
          <w:szCs w:val="24"/>
          <w:lang w:val="en-US" w:eastAsia="el-GR"/>
        </w:rPr>
        <w:t xml:space="preserve"> 69</w:t>
      </w:r>
      <w:r w:rsidRPr="008F62AA">
        <w:rPr>
          <w:szCs w:val="24"/>
          <w:lang w:val="en-US" w:eastAsia="el-GR"/>
        </w:rPr>
        <w:t>, 1026–1031.</w:t>
      </w:r>
    </w:p>
    <w:p w:rsidR="008F62AA" w:rsidRPr="008F62AA" w:rsidRDefault="008F62AA" w:rsidP="00D102B8">
      <w:pPr>
        <w:autoSpaceDE w:val="0"/>
        <w:autoSpaceDN w:val="0"/>
        <w:adjustRightInd w:val="0"/>
        <w:rPr>
          <w:szCs w:val="24"/>
          <w:lang w:val="en-US" w:eastAsia="el-GR"/>
        </w:rPr>
      </w:pPr>
      <w:r w:rsidRPr="008F62AA">
        <w:rPr>
          <w:szCs w:val="24"/>
          <w:lang w:val="en-US" w:eastAsia="el-GR"/>
        </w:rPr>
        <w:t>Kim, S.M., Kim, J.S., Heo, Y.E.</w:t>
      </w:r>
      <w:r w:rsidRPr="008F62AA">
        <w:rPr>
          <w:i/>
          <w:iCs/>
          <w:szCs w:val="24"/>
          <w:lang w:val="en-US" w:eastAsia="el-GR"/>
        </w:rPr>
        <w:t>, et al</w:t>
      </w:r>
      <w:r w:rsidRPr="008F62AA">
        <w:rPr>
          <w:szCs w:val="24"/>
          <w:lang w:val="en-US" w:eastAsia="el-GR"/>
        </w:rPr>
        <w:t xml:space="preserve">.(2012). Cortical oscillopsia without nystagmus, an isolated symptom of neuromyelitis optica spectrum disorder with anti-aquaporin 4 antibody. </w:t>
      </w:r>
      <w:r w:rsidRPr="008F62AA">
        <w:rPr>
          <w:i/>
          <w:iCs/>
          <w:szCs w:val="24"/>
          <w:lang w:val="en-US" w:eastAsia="el-GR"/>
        </w:rPr>
        <w:t>Mult Scler,</w:t>
      </w:r>
      <w:r w:rsidRPr="008F62AA">
        <w:rPr>
          <w:i/>
          <w:szCs w:val="24"/>
          <w:lang w:val="en-US" w:eastAsia="el-GR"/>
        </w:rPr>
        <w:t xml:space="preserve"> 18</w:t>
      </w:r>
      <w:r w:rsidRPr="008F62AA">
        <w:rPr>
          <w:szCs w:val="24"/>
          <w:lang w:val="en-US" w:eastAsia="el-GR"/>
        </w:rPr>
        <w:t>, 244–247.</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Kitley, J., Elsone, L., George, J., Waters, P., Woodhall, M., Vincent, A. et al (2014). Methotrexate is an alternative to azathioprine in neuromyelitis optica spectrum disorders with aquaporin-4 antibodies. </w:t>
      </w:r>
      <w:r w:rsidRPr="008F62AA">
        <w:rPr>
          <w:i/>
          <w:lang w:val="en-US"/>
        </w:rPr>
        <w:t>J Neurol Neurosurg Psychiatry, 84</w:t>
      </w:r>
      <w:r w:rsidRPr="008F62AA">
        <w:rPr>
          <w:lang w:val="en-US"/>
        </w:rPr>
        <w:t>(8), 918–921.</w:t>
      </w:r>
    </w:p>
    <w:p w:rsidR="008F62AA" w:rsidRPr="008F62AA" w:rsidRDefault="008F62AA" w:rsidP="00D102B8">
      <w:pPr>
        <w:autoSpaceDE w:val="0"/>
        <w:autoSpaceDN w:val="0"/>
        <w:adjustRightInd w:val="0"/>
        <w:rPr>
          <w:szCs w:val="24"/>
          <w:lang w:val="en-US" w:eastAsia="el-GR"/>
        </w:rPr>
      </w:pPr>
      <w:r w:rsidRPr="008F62AA">
        <w:rPr>
          <w:szCs w:val="24"/>
          <w:lang w:val="en-US" w:eastAsia="el-GR"/>
        </w:rPr>
        <w:t>Kitley, J., Leite, M., Nakashima, I.</w:t>
      </w:r>
      <w:r w:rsidRPr="008F62AA">
        <w:rPr>
          <w:i/>
          <w:iCs/>
          <w:szCs w:val="24"/>
          <w:lang w:val="en-US" w:eastAsia="el-GR"/>
        </w:rPr>
        <w:t>, et al</w:t>
      </w:r>
      <w:r w:rsidRPr="008F62AA">
        <w:rPr>
          <w:szCs w:val="24"/>
          <w:lang w:val="en-US" w:eastAsia="el-GR"/>
        </w:rPr>
        <w:t xml:space="preserve">. (2012). Prognostic factors and disease course in aquaporin-4 antibody-positive patients with neuromyelitis optica spectrum disorder from the United Kingdom and Japan. </w:t>
      </w:r>
      <w:r w:rsidRPr="008F62AA">
        <w:rPr>
          <w:i/>
          <w:iCs/>
          <w:szCs w:val="24"/>
          <w:lang w:val="en-US" w:eastAsia="el-GR"/>
        </w:rPr>
        <w:t xml:space="preserve">Brain, </w:t>
      </w:r>
      <w:r w:rsidRPr="008F62AA">
        <w:rPr>
          <w:i/>
          <w:szCs w:val="24"/>
          <w:lang w:val="en-US" w:eastAsia="el-GR"/>
        </w:rPr>
        <w:t>135</w:t>
      </w:r>
      <w:r w:rsidRPr="008F62AA">
        <w:rPr>
          <w:szCs w:val="24"/>
          <w:lang w:val="en-US" w:eastAsia="el-GR"/>
        </w:rPr>
        <w:t>, 1834–1849.</w:t>
      </w:r>
    </w:p>
    <w:p w:rsidR="008F62AA" w:rsidRPr="008F62AA" w:rsidRDefault="008F62AA" w:rsidP="00D102B8">
      <w:pPr>
        <w:rPr>
          <w:szCs w:val="24"/>
          <w:lang w:val="en-US"/>
        </w:rPr>
      </w:pPr>
      <w:r w:rsidRPr="008F62AA">
        <w:rPr>
          <w:szCs w:val="24"/>
          <w:lang w:val="en-US"/>
        </w:rPr>
        <w:t xml:space="preserve">Kjolhede, T., Vissing, K., Langeskov-Christensen, D., Stenager, T., Petersen, E. &amp; Dalgas, U. (2015). Relationship between muscle strength parameters and functional capacity in personswithmild tomoderate degreemultiple sclerosis, </w:t>
      </w:r>
      <w:r w:rsidRPr="008F62AA">
        <w:rPr>
          <w:i/>
          <w:szCs w:val="24"/>
          <w:lang w:val="en-US"/>
        </w:rPr>
        <w:t>Mult. Scler. Relat. Disord., 4</w:t>
      </w:r>
      <w:r w:rsidRPr="008F62AA">
        <w:rPr>
          <w:szCs w:val="24"/>
          <w:lang w:val="en-US"/>
        </w:rPr>
        <w:t>(2), 151–158.</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Klawiter, E.C., Bove, R., Elsone, L., Alvarez, E., Borisow, N., Cortez, M. et al (2017). High risk of postpartum relapses in neuromyelitis optica spectrum disorder. </w:t>
      </w:r>
      <w:r w:rsidRPr="008F62AA">
        <w:rPr>
          <w:i/>
          <w:lang w:val="en-US"/>
        </w:rPr>
        <w:t>Neurology 89</w:t>
      </w:r>
      <w:r w:rsidRPr="008F62AA">
        <w:rPr>
          <w:lang w:val="en-US"/>
        </w:rPr>
        <w:t>(22), 2238–2244</w:t>
      </w:r>
    </w:p>
    <w:p w:rsidR="008F62AA" w:rsidRPr="008F62AA" w:rsidRDefault="008F62AA" w:rsidP="00D102B8">
      <w:pPr>
        <w:rPr>
          <w:bCs/>
          <w:szCs w:val="24"/>
          <w:lang w:val="en-US"/>
        </w:rPr>
      </w:pPr>
      <w:r w:rsidRPr="008F62AA">
        <w:rPr>
          <w:szCs w:val="24"/>
          <w:lang w:val="en-US"/>
        </w:rPr>
        <w:t xml:space="preserve">Kobelt, G, Berg, J, Lindgren, P. (2006). </w:t>
      </w:r>
      <w:r w:rsidRPr="008F62AA">
        <w:rPr>
          <w:rStyle w:val="nlmarticle-title"/>
          <w:szCs w:val="24"/>
          <w:lang w:val="en-US"/>
        </w:rPr>
        <w:t>Costs and quality of life of multiple sclerosis in Germany</w:t>
      </w:r>
      <w:r w:rsidRPr="008F62AA">
        <w:rPr>
          <w:szCs w:val="24"/>
          <w:lang w:val="en-US"/>
        </w:rPr>
        <w:t xml:space="preserve">. </w:t>
      </w:r>
      <w:r w:rsidRPr="008F62AA">
        <w:rPr>
          <w:i/>
          <w:szCs w:val="24"/>
          <w:lang w:val="en-US"/>
        </w:rPr>
        <w:t>Eur J Health Econ., 7</w:t>
      </w:r>
      <w:r w:rsidRPr="008F62AA">
        <w:rPr>
          <w:szCs w:val="24"/>
          <w:lang w:val="en-US"/>
        </w:rPr>
        <w:t>(</w:t>
      </w:r>
      <w:r w:rsidRPr="008F62AA">
        <w:rPr>
          <w:rStyle w:val="nlmsupplement"/>
          <w:szCs w:val="24"/>
          <w:lang w:val="en-US"/>
        </w:rPr>
        <w:t>2</w:t>
      </w:r>
      <w:r w:rsidRPr="008F62AA">
        <w:rPr>
          <w:szCs w:val="24"/>
          <w:lang w:val="en-US"/>
        </w:rPr>
        <w:t xml:space="preserve">), </w:t>
      </w:r>
      <w:r w:rsidRPr="008F62AA">
        <w:rPr>
          <w:rStyle w:val="nlmfpage"/>
          <w:szCs w:val="24"/>
          <w:lang w:val="en-US"/>
        </w:rPr>
        <w:t>34</w:t>
      </w:r>
      <w:r w:rsidRPr="008F62AA">
        <w:rPr>
          <w:szCs w:val="24"/>
          <w:lang w:val="en-US"/>
        </w:rPr>
        <w:t>–</w:t>
      </w:r>
      <w:r w:rsidRPr="008F62AA">
        <w:rPr>
          <w:rStyle w:val="nlmlpage"/>
          <w:szCs w:val="24"/>
          <w:lang w:val="en-US"/>
        </w:rPr>
        <w:t>44</w:t>
      </w:r>
      <w:r w:rsidRPr="008F62AA">
        <w:rPr>
          <w:szCs w:val="24"/>
          <w:lang w:val="en-US"/>
        </w:rPr>
        <w:t>.</w:t>
      </w:r>
    </w:p>
    <w:p w:rsidR="008F62AA" w:rsidRPr="008F62AA" w:rsidRDefault="008F62AA" w:rsidP="00D102B8">
      <w:pPr>
        <w:autoSpaceDE w:val="0"/>
        <w:autoSpaceDN w:val="0"/>
        <w:adjustRightInd w:val="0"/>
        <w:rPr>
          <w:szCs w:val="24"/>
          <w:lang w:val="en-US"/>
        </w:rPr>
      </w:pPr>
      <w:r w:rsidRPr="008F62AA">
        <w:rPr>
          <w:szCs w:val="24"/>
          <w:lang w:val="en-US"/>
        </w:rPr>
        <w:lastRenderedPageBreak/>
        <w:t xml:space="preserve">Kobelt, G., Lindgren, P., Parkin, D., Francis, D., Johnson, M., Bates, D., Jonsson, B. (2000). </w:t>
      </w:r>
      <w:r w:rsidRPr="008F62AA">
        <w:rPr>
          <w:i/>
          <w:iCs/>
          <w:szCs w:val="24"/>
          <w:lang w:val="en-US"/>
        </w:rPr>
        <w:t>Costs and Quality of life in multiple sclerosis: A Cross - Sectional Observational Study in the UK</w:t>
      </w:r>
      <w:r w:rsidRPr="008F62AA">
        <w:rPr>
          <w:szCs w:val="24"/>
          <w:lang w:val="en-US"/>
        </w:rPr>
        <w:t xml:space="preserve"> (This report is part of an observational study in three countries). Stockholm School of Economics </w:t>
      </w:r>
      <w:r w:rsidRPr="008F62AA">
        <w:rPr>
          <w:i/>
          <w:iCs/>
          <w:szCs w:val="24"/>
          <w:lang w:val="en-US"/>
        </w:rPr>
        <w:t xml:space="preserve">Working Paper Series in Economics and Finance, </w:t>
      </w:r>
      <w:r w:rsidRPr="008F62AA">
        <w:rPr>
          <w:szCs w:val="24"/>
          <w:lang w:val="en-US"/>
        </w:rPr>
        <w:t xml:space="preserve">398-399. </w:t>
      </w:r>
    </w:p>
    <w:p w:rsidR="008F62AA" w:rsidRPr="008F62AA" w:rsidRDefault="008F62AA" w:rsidP="00D102B8">
      <w:pPr>
        <w:rPr>
          <w:bCs/>
          <w:szCs w:val="24"/>
          <w:lang w:val="en-US"/>
        </w:rPr>
      </w:pPr>
      <w:r w:rsidRPr="008F62AA">
        <w:rPr>
          <w:bCs/>
          <w:szCs w:val="24"/>
          <w:lang w:val="en-US"/>
        </w:rPr>
        <w:t xml:space="preserve">Lana-Peixoto, M.A. Callegaro, D. (2012). The expanded spectrum of neuromyelitis optica —evidences for a new definition, </w:t>
      </w:r>
      <w:r w:rsidRPr="008F62AA">
        <w:rPr>
          <w:bCs/>
          <w:i/>
          <w:szCs w:val="24"/>
          <w:lang w:val="en-US"/>
        </w:rPr>
        <w:t>Arq. Neuropsiquiatr. 70</w:t>
      </w:r>
      <w:r w:rsidRPr="008F62AA">
        <w:rPr>
          <w:bCs/>
          <w:szCs w:val="24"/>
          <w:lang w:val="en-US"/>
        </w:rPr>
        <w:t>(10), 807–813.</w:t>
      </w:r>
    </w:p>
    <w:p w:rsidR="008F62AA" w:rsidRPr="008F62AA" w:rsidRDefault="008F62AA" w:rsidP="00D102B8">
      <w:pPr>
        <w:rPr>
          <w:szCs w:val="24"/>
          <w:lang w:val="en-US"/>
        </w:rPr>
      </w:pPr>
      <w:r w:rsidRPr="008F62AA">
        <w:rPr>
          <w:szCs w:val="24"/>
          <w:lang w:val="en-US"/>
        </w:rPr>
        <w:t xml:space="preserve">Larocca, N.G. (2011). Impact of walking impairment in multiple sclerosis: perspectives of patients and care partners, </w:t>
      </w:r>
      <w:r w:rsidRPr="008F62AA">
        <w:rPr>
          <w:i/>
          <w:szCs w:val="24"/>
          <w:lang w:val="en-US"/>
        </w:rPr>
        <w:t>Patient, 4</w:t>
      </w:r>
      <w:r w:rsidRPr="008F62AA">
        <w:rPr>
          <w:szCs w:val="24"/>
          <w:lang w:val="en-US"/>
        </w:rPr>
        <w:t>(3), 189–201.</w:t>
      </w:r>
    </w:p>
    <w:p w:rsidR="008F62AA" w:rsidRPr="008F62AA" w:rsidRDefault="008F62AA" w:rsidP="00D102B8">
      <w:pPr>
        <w:rPr>
          <w:szCs w:val="24"/>
          <w:lang w:val="en-US"/>
        </w:rPr>
      </w:pPr>
      <w:r w:rsidRPr="008F62AA">
        <w:rPr>
          <w:szCs w:val="24"/>
          <w:lang w:val="en-US"/>
        </w:rPr>
        <w:t>Lassmann</w:t>
      </w:r>
      <w:r w:rsidRPr="008F62AA">
        <w:rPr>
          <w:bCs/>
          <w:szCs w:val="24"/>
          <w:lang w:val="en-US"/>
        </w:rPr>
        <w:t>, H. (2018). Pathogenic Mechanisms Associated With Different Clinical Courses of Multiple Sclerosis</w:t>
      </w:r>
      <w:r w:rsidRPr="008F62AA">
        <w:rPr>
          <w:bCs/>
          <w:i/>
          <w:szCs w:val="24"/>
          <w:lang w:val="en-US"/>
        </w:rPr>
        <w:t xml:space="preserve">. </w:t>
      </w:r>
      <w:r w:rsidRPr="008F62AA">
        <w:rPr>
          <w:i/>
          <w:szCs w:val="24"/>
          <w:lang w:val="en-US"/>
        </w:rPr>
        <w:t>Front Immunol., 9</w:t>
      </w:r>
      <w:r w:rsidRPr="008F62AA">
        <w:rPr>
          <w:szCs w:val="24"/>
          <w:lang w:val="en-US"/>
        </w:rPr>
        <w:t xml:space="preserve">, 3116. </w:t>
      </w:r>
    </w:p>
    <w:p w:rsidR="008F62AA" w:rsidRPr="008F62AA" w:rsidRDefault="008F62AA" w:rsidP="00D102B8">
      <w:pPr>
        <w:autoSpaceDE w:val="0"/>
        <w:autoSpaceDN w:val="0"/>
        <w:adjustRightInd w:val="0"/>
        <w:rPr>
          <w:szCs w:val="24"/>
          <w:lang w:val="en-US" w:eastAsia="el-GR"/>
        </w:rPr>
      </w:pPr>
      <w:r w:rsidRPr="008F62AA">
        <w:rPr>
          <w:szCs w:val="24"/>
          <w:lang w:val="en-US" w:eastAsia="el-GR"/>
        </w:rPr>
        <w:t xml:space="preserve">Leary, S., Porter, M.B.E., &amp; Thompson, A.J. (2005). Multiple sclerosis: Diagnosis and the management of acute relapses. </w:t>
      </w:r>
      <w:r w:rsidRPr="008F62AA">
        <w:rPr>
          <w:i/>
          <w:szCs w:val="24"/>
          <w:lang w:val="en-US" w:eastAsia="el-GR"/>
        </w:rPr>
        <w:t xml:space="preserve">Postgraduate medical journal, 81, </w:t>
      </w:r>
      <w:r w:rsidRPr="008F62AA">
        <w:rPr>
          <w:szCs w:val="24"/>
          <w:lang w:val="en-US" w:eastAsia="el-GR"/>
        </w:rPr>
        <w:t xml:space="preserve">302-8. </w:t>
      </w:r>
    </w:p>
    <w:p w:rsidR="008F62AA" w:rsidRPr="008F62AA" w:rsidRDefault="008F62AA" w:rsidP="00297ECD">
      <w:pPr>
        <w:autoSpaceDE w:val="0"/>
        <w:autoSpaceDN w:val="0"/>
        <w:adjustRightInd w:val="0"/>
        <w:rPr>
          <w:szCs w:val="24"/>
          <w:lang w:val="en-US" w:eastAsia="el-GR"/>
        </w:rPr>
      </w:pPr>
      <w:r w:rsidRPr="008F62AA">
        <w:rPr>
          <w:szCs w:val="24"/>
          <w:lang w:val="en-US" w:eastAsia="el-GR"/>
        </w:rPr>
        <w:t xml:space="preserve">Lebrun-Frenay, C., Kobelt, G., Berg, J., Capsa, D., &amp; Gannedahl, M. (2017). New insights into the burden and costs of multiple sclerosis in Europe: Results for France. </w:t>
      </w:r>
      <w:r w:rsidRPr="008F62AA">
        <w:rPr>
          <w:i/>
          <w:szCs w:val="24"/>
          <w:lang w:val="en-US" w:eastAsia="el-GR"/>
        </w:rPr>
        <w:t>Multiple Sclerosis Journal, 23</w:t>
      </w:r>
      <w:r w:rsidRPr="008F62AA">
        <w:rPr>
          <w:szCs w:val="24"/>
          <w:lang w:val="en-US" w:eastAsia="el-GR"/>
        </w:rPr>
        <w:t xml:space="preserve">(2), 65–77. </w:t>
      </w:r>
    </w:p>
    <w:p w:rsidR="008F62AA" w:rsidRPr="008F62AA" w:rsidRDefault="008F62AA" w:rsidP="00D102B8">
      <w:pPr>
        <w:rPr>
          <w:bCs/>
          <w:szCs w:val="24"/>
          <w:lang w:val="en-US"/>
        </w:rPr>
      </w:pPr>
      <w:r w:rsidRPr="008F62AA">
        <w:rPr>
          <w:bCs/>
          <w:szCs w:val="24"/>
          <w:lang w:val="en-US"/>
        </w:rPr>
        <w:t xml:space="preserve">Lennon, V.A., Kryser ,T.J., Pittock, S.J., Verkman, A.S., Hinson, S.R. (2005). IgG marker of optic-spinal multiple sclerosis binds to the aquaporin-4 water channel. </w:t>
      </w:r>
      <w:r w:rsidRPr="008F62AA">
        <w:rPr>
          <w:bCs/>
          <w:i/>
          <w:szCs w:val="24"/>
          <w:lang w:val="en-US"/>
        </w:rPr>
        <w:t xml:space="preserve">J Exp Med, 202, </w:t>
      </w:r>
      <w:r w:rsidRPr="008F62AA">
        <w:rPr>
          <w:bCs/>
          <w:szCs w:val="24"/>
          <w:lang w:val="en-US"/>
        </w:rPr>
        <w:t>473-477.</w:t>
      </w:r>
    </w:p>
    <w:p w:rsidR="008F62AA" w:rsidRPr="008F62AA" w:rsidRDefault="008F62AA" w:rsidP="00D102B8">
      <w:pPr>
        <w:rPr>
          <w:bCs/>
          <w:szCs w:val="24"/>
          <w:lang w:val="en-US"/>
        </w:rPr>
      </w:pPr>
      <w:r w:rsidRPr="008F62AA">
        <w:rPr>
          <w:bCs/>
          <w:szCs w:val="24"/>
          <w:lang w:val="en-US"/>
        </w:rPr>
        <w:t xml:space="preserve">Lennon, V.A., Wingerchuk, D.M., Kryser, T.J., et al. (2004). A serum autoantibody marker of neuromyelitis optica: distinction from multiple sclerosis. </w:t>
      </w:r>
      <w:r w:rsidRPr="008F62AA">
        <w:rPr>
          <w:bCs/>
          <w:i/>
          <w:szCs w:val="24"/>
          <w:lang w:val="en-US"/>
        </w:rPr>
        <w:t xml:space="preserve">Lancet 364, </w:t>
      </w:r>
      <w:r w:rsidRPr="008F62AA">
        <w:rPr>
          <w:bCs/>
          <w:szCs w:val="24"/>
          <w:lang w:val="en-US"/>
        </w:rPr>
        <w:t>2106-2112.</w:t>
      </w:r>
    </w:p>
    <w:p w:rsidR="008F62AA" w:rsidRPr="008F62AA" w:rsidRDefault="008F62AA" w:rsidP="00D102B8">
      <w:pPr>
        <w:autoSpaceDE w:val="0"/>
        <w:autoSpaceDN w:val="0"/>
        <w:adjustRightInd w:val="0"/>
        <w:rPr>
          <w:szCs w:val="24"/>
          <w:lang w:val="en-US" w:eastAsia="el-GR"/>
        </w:rPr>
      </w:pPr>
      <w:r w:rsidRPr="008F62AA">
        <w:rPr>
          <w:szCs w:val="24"/>
          <w:lang w:val="en-US" w:eastAsia="el-GR"/>
        </w:rPr>
        <w:t>Lim, Y., Pyun, S., Lim, H.</w:t>
      </w:r>
      <w:r w:rsidRPr="008F62AA">
        <w:rPr>
          <w:i/>
          <w:iCs/>
          <w:szCs w:val="24"/>
          <w:lang w:val="en-US" w:eastAsia="el-GR"/>
        </w:rPr>
        <w:t>, et al</w:t>
      </w:r>
      <w:r w:rsidRPr="008F62AA">
        <w:rPr>
          <w:szCs w:val="24"/>
          <w:lang w:val="en-US" w:eastAsia="el-GR"/>
        </w:rPr>
        <w:t xml:space="preserve">. (2014). First-ever optic neuritis: distinguishing subsequent neuromyelitis optica from multiple sclerosis. </w:t>
      </w:r>
      <w:r w:rsidRPr="008F62AA">
        <w:rPr>
          <w:i/>
          <w:iCs/>
          <w:szCs w:val="24"/>
          <w:lang w:val="en-US" w:eastAsia="el-GR"/>
        </w:rPr>
        <w:t>Neurol Sci</w:t>
      </w:r>
      <w:r w:rsidRPr="008F62AA">
        <w:rPr>
          <w:szCs w:val="24"/>
          <w:lang w:val="en-US" w:eastAsia="el-GR"/>
        </w:rPr>
        <w:t>.,</w:t>
      </w:r>
      <w:r w:rsidRPr="008F62AA">
        <w:rPr>
          <w:i/>
          <w:szCs w:val="24"/>
          <w:lang w:val="en-US" w:eastAsia="el-GR"/>
        </w:rPr>
        <w:t xml:space="preserve"> 35</w:t>
      </w:r>
      <w:r w:rsidRPr="008F62AA">
        <w:rPr>
          <w:szCs w:val="24"/>
          <w:lang w:val="en-US" w:eastAsia="el-GR"/>
        </w:rPr>
        <w:t>, 781–783.</w:t>
      </w:r>
    </w:p>
    <w:p w:rsidR="008F62AA" w:rsidRPr="002767E3" w:rsidRDefault="008F62AA" w:rsidP="00D102B8">
      <w:pPr>
        <w:rPr>
          <w:rStyle w:val="tlid-translation"/>
          <w:szCs w:val="24"/>
        </w:rPr>
      </w:pPr>
      <w:r w:rsidRPr="008F62AA">
        <w:rPr>
          <w:rStyle w:val="tlid-translation"/>
          <w:szCs w:val="24"/>
          <w:lang w:val="en-US"/>
        </w:rPr>
        <w:t xml:space="preserve">Lin, S.D., Butler, J.E., Boswell-Ruys, C.L., Hoang, P., Jarvis, T., Gandevia, S.C. &amp; McCaughey, E.J. (2019). </w:t>
      </w:r>
      <w:r w:rsidRPr="002767E3">
        <w:rPr>
          <w:rStyle w:val="tlid-translation"/>
          <w:i/>
          <w:szCs w:val="24"/>
          <w:lang w:val="en-US"/>
        </w:rPr>
        <w:t>The frequency of bowel and bladder problems in multiple sclerosis and its relation to fatigue: A single centre experience</w:t>
      </w:r>
      <w:r w:rsidR="002767E3">
        <w:rPr>
          <w:rStyle w:val="tlid-translation"/>
          <w:szCs w:val="24"/>
          <w:lang w:val="en-US"/>
        </w:rPr>
        <w:t xml:space="preserve">. </w:t>
      </w:r>
      <w:r w:rsidR="002767E3">
        <w:rPr>
          <w:rStyle w:val="tlid-translation"/>
          <w:szCs w:val="24"/>
        </w:rPr>
        <w:t xml:space="preserve">Ανακτήθηκε 20 Σεπτεμβρίου 2020 από </w:t>
      </w:r>
      <w:hyperlink r:id="rId20" w:history="1">
        <w:r w:rsidR="002767E3">
          <w:rPr>
            <w:rStyle w:val="-"/>
          </w:rPr>
          <w:t>https://doi.org/10.1371/journal.pone.0222731</w:t>
        </w:r>
      </w:hyperlink>
    </w:p>
    <w:p w:rsidR="008F62AA" w:rsidRPr="008F62AA" w:rsidRDefault="008F62AA" w:rsidP="00D102B8">
      <w:pPr>
        <w:autoSpaceDE w:val="0"/>
        <w:autoSpaceDN w:val="0"/>
        <w:adjustRightInd w:val="0"/>
        <w:rPr>
          <w:szCs w:val="24"/>
          <w:lang w:val="en-US" w:eastAsia="el-GR"/>
        </w:rPr>
      </w:pPr>
      <w:r w:rsidRPr="008F62AA">
        <w:rPr>
          <w:szCs w:val="24"/>
          <w:lang w:val="en-US" w:eastAsia="el-GR"/>
        </w:rPr>
        <w:t>Liu, Y., Wang, J., Daams, M.</w:t>
      </w:r>
      <w:r w:rsidRPr="008F62AA">
        <w:rPr>
          <w:i/>
          <w:iCs/>
          <w:szCs w:val="24"/>
          <w:lang w:val="en-US" w:eastAsia="el-GR"/>
        </w:rPr>
        <w:t>, et al</w:t>
      </w:r>
      <w:r w:rsidRPr="008F62AA">
        <w:rPr>
          <w:szCs w:val="24"/>
          <w:lang w:val="en-US" w:eastAsia="el-GR"/>
        </w:rPr>
        <w:t xml:space="preserve">. (2015). Differential patterns of spinal cord and brain atrophy in NMO and MS. </w:t>
      </w:r>
      <w:r w:rsidRPr="008F62AA">
        <w:rPr>
          <w:i/>
          <w:iCs/>
          <w:szCs w:val="24"/>
          <w:lang w:val="en-US" w:eastAsia="el-GR"/>
        </w:rPr>
        <w:t>Neurology,</w:t>
      </w:r>
      <w:r w:rsidRPr="008F62AA">
        <w:rPr>
          <w:i/>
          <w:szCs w:val="24"/>
          <w:lang w:val="en-US" w:eastAsia="el-GR"/>
        </w:rPr>
        <w:t xml:space="preserve"> 84</w:t>
      </w:r>
      <w:r w:rsidRPr="008F62AA">
        <w:rPr>
          <w:szCs w:val="24"/>
          <w:lang w:val="en-US" w:eastAsia="el-GR"/>
        </w:rPr>
        <w:t>, 1465–1472.</w:t>
      </w:r>
    </w:p>
    <w:p w:rsidR="008F62AA" w:rsidRPr="008F62AA" w:rsidRDefault="008F62AA" w:rsidP="00D102B8">
      <w:pPr>
        <w:rPr>
          <w:bCs/>
          <w:szCs w:val="24"/>
          <w:lang w:val="en-US"/>
        </w:rPr>
      </w:pPr>
      <w:r w:rsidRPr="008F62AA">
        <w:rPr>
          <w:bCs/>
          <w:szCs w:val="24"/>
          <w:lang w:val="en-US"/>
        </w:rPr>
        <w:t>Lowenberg, K., DeJong, R.N., Foster, D.B. (1947). Neuromyelitis optica: its relations to progressive necrosis of the spinal cord and acute multiple sclerosis.</w:t>
      </w:r>
      <w:r w:rsidRPr="008F62AA">
        <w:rPr>
          <w:bCs/>
          <w:i/>
          <w:szCs w:val="24"/>
          <w:lang w:val="en-US"/>
        </w:rPr>
        <w:t xml:space="preserve"> Trans Am Neurol Assoc. 67, </w:t>
      </w:r>
      <w:r w:rsidRPr="008F62AA">
        <w:rPr>
          <w:bCs/>
          <w:szCs w:val="24"/>
          <w:lang w:val="en-US"/>
        </w:rPr>
        <w:t>50-66.</w:t>
      </w:r>
    </w:p>
    <w:p w:rsidR="008F62AA" w:rsidRPr="008F62AA" w:rsidRDefault="008F62AA" w:rsidP="00D102B8">
      <w:pPr>
        <w:rPr>
          <w:bCs/>
          <w:szCs w:val="24"/>
          <w:lang w:val="en-US"/>
        </w:rPr>
      </w:pPr>
      <w:r w:rsidRPr="008F62AA">
        <w:rPr>
          <w:bCs/>
          <w:szCs w:val="24"/>
          <w:lang w:val="en-US"/>
        </w:rPr>
        <w:lastRenderedPageBreak/>
        <w:t xml:space="preserve">Lucchinetti, C.F., Bruck, W., Parisi, J.E., Scheithauter, B., Rodriguez, M. &amp; Lassmann, H. (2001) Heterogenity of multiple sclerosis lesions: implication for the pathogenesis of demyelination. </w:t>
      </w:r>
      <w:r w:rsidRPr="002767E3">
        <w:rPr>
          <w:bCs/>
          <w:i/>
          <w:szCs w:val="24"/>
          <w:lang w:val="en-US"/>
        </w:rPr>
        <w:t>Ann Neurol., 47</w:t>
      </w:r>
      <w:r w:rsidRPr="008F62AA">
        <w:rPr>
          <w:bCs/>
          <w:szCs w:val="24"/>
          <w:lang w:val="en-US"/>
        </w:rPr>
        <w:t>,707-717.</w:t>
      </w:r>
    </w:p>
    <w:p w:rsidR="008F62AA" w:rsidRPr="008F62AA" w:rsidRDefault="008F62AA" w:rsidP="00D102B8">
      <w:pPr>
        <w:rPr>
          <w:bCs/>
          <w:szCs w:val="24"/>
          <w:lang w:val="en-US"/>
        </w:rPr>
      </w:pPr>
      <w:r w:rsidRPr="008F62AA">
        <w:rPr>
          <w:bCs/>
          <w:szCs w:val="24"/>
          <w:lang w:val="en-US"/>
        </w:rPr>
        <w:t xml:space="preserve">Lucchinetti, C.F., Mandler, R.N., McGavern, D., et al. (2002). A role for humoral mechanisms in the pathogenesis of Devic’s neuromyelitis optica. </w:t>
      </w:r>
      <w:r w:rsidRPr="008F62AA">
        <w:rPr>
          <w:bCs/>
          <w:i/>
          <w:szCs w:val="24"/>
          <w:lang w:val="en-US"/>
        </w:rPr>
        <w:t>Brain 125</w:t>
      </w:r>
      <w:r w:rsidRPr="008F62AA">
        <w:rPr>
          <w:bCs/>
          <w:szCs w:val="24"/>
          <w:lang w:val="en-US"/>
        </w:rPr>
        <w:t>, 1450-1461.</w:t>
      </w:r>
    </w:p>
    <w:p w:rsidR="008F62AA" w:rsidRPr="002767E3" w:rsidRDefault="008F62AA" w:rsidP="00D102B8">
      <w:pPr>
        <w:rPr>
          <w:rStyle w:val="bkciteavail"/>
          <w:szCs w:val="24"/>
          <w:lang w:val="en-US"/>
        </w:rPr>
      </w:pPr>
      <w:r w:rsidRPr="008F62AA">
        <w:rPr>
          <w:szCs w:val="24"/>
          <w:lang w:val="en-US"/>
        </w:rPr>
        <w:t xml:space="preserve"> Ludwig PE, Reddy V, Varacallo M. Neuroanatomy, Central Nervous System (CNS) [Updated 2020 May 24]. In: StatPearls [Internet]. Treasure Island (FL): StatPearls Publishing; 2020 Jan-. </w:t>
      </w:r>
      <w:r w:rsidR="002767E3">
        <w:rPr>
          <w:rStyle w:val="bkciteavail"/>
          <w:szCs w:val="24"/>
        </w:rPr>
        <w:t>Ανακτήθηκε 15 Ιουνίου 2020, από</w:t>
      </w:r>
      <w:r w:rsidRPr="002767E3">
        <w:rPr>
          <w:rStyle w:val="bkciteavail"/>
          <w:szCs w:val="24"/>
        </w:rPr>
        <w:t xml:space="preserve"> </w:t>
      </w:r>
      <w:hyperlink r:id="rId21" w:history="1">
        <w:r w:rsidRPr="008F62AA">
          <w:rPr>
            <w:rStyle w:val="-"/>
            <w:szCs w:val="24"/>
            <w:lang w:val="en-US"/>
          </w:rPr>
          <w:t>https</w:t>
        </w:r>
        <w:r w:rsidRPr="002767E3">
          <w:rPr>
            <w:rStyle w:val="-"/>
            <w:szCs w:val="24"/>
          </w:rPr>
          <w:t>://</w:t>
        </w:r>
        <w:r w:rsidRPr="008F62AA">
          <w:rPr>
            <w:rStyle w:val="-"/>
            <w:szCs w:val="24"/>
            <w:lang w:val="en-US"/>
          </w:rPr>
          <w:t>www</w:t>
        </w:r>
        <w:r w:rsidRPr="002767E3">
          <w:rPr>
            <w:rStyle w:val="-"/>
            <w:szCs w:val="24"/>
          </w:rPr>
          <w:t>.</w:t>
        </w:r>
        <w:r w:rsidRPr="008F62AA">
          <w:rPr>
            <w:rStyle w:val="-"/>
            <w:szCs w:val="24"/>
            <w:lang w:val="en-US"/>
          </w:rPr>
          <w:t>ncbi</w:t>
        </w:r>
        <w:r w:rsidRPr="002767E3">
          <w:rPr>
            <w:rStyle w:val="-"/>
            <w:szCs w:val="24"/>
          </w:rPr>
          <w:t>.</w:t>
        </w:r>
        <w:r w:rsidRPr="008F62AA">
          <w:rPr>
            <w:rStyle w:val="-"/>
            <w:szCs w:val="24"/>
            <w:lang w:val="en-US"/>
          </w:rPr>
          <w:t>nlm</w:t>
        </w:r>
        <w:r w:rsidRPr="002767E3">
          <w:rPr>
            <w:rStyle w:val="-"/>
            <w:szCs w:val="24"/>
          </w:rPr>
          <w:t>.</w:t>
        </w:r>
        <w:r w:rsidRPr="008F62AA">
          <w:rPr>
            <w:rStyle w:val="-"/>
            <w:szCs w:val="24"/>
            <w:lang w:val="en-US"/>
          </w:rPr>
          <w:t>nih</w:t>
        </w:r>
        <w:r w:rsidRPr="002767E3">
          <w:rPr>
            <w:rStyle w:val="-"/>
            <w:szCs w:val="24"/>
          </w:rPr>
          <w:t>.</w:t>
        </w:r>
        <w:r w:rsidRPr="008F62AA">
          <w:rPr>
            <w:rStyle w:val="-"/>
            <w:szCs w:val="24"/>
            <w:lang w:val="en-US"/>
          </w:rPr>
          <w:t>gov</w:t>
        </w:r>
        <w:r w:rsidRPr="002767E3">
          <w:rPr>
            <w:rStyle w:val="-"/>
            <w:szCs w:val="24"/>
          </w:rPr>
          <w:t>/</w:t>
        </w:r>
        <w:r w:rsidRPr="008F62AA">
          <w:rPr>
            <w:rStyle w:val="-"/>
            <w:szCs w:val="24"/>
            <w:lang w:val="en-US"/>
          </w:rPr>
          <w:t>books</w:t>
        </w:r>
        <w:r w:rsidRPr="002767E3">
          <w:rPr>
            <w:rStyle w:val="-"/>
            <w:szCs w:val="24"/>
          </w:rPr>
          <w:t>/</w:t>
        </w:r>
        <w:r w:rsidRPr="008F62AA">
          <w:rPr>
            <w:rStyle w:val="-"/>
            <w:szCs w:val="24"/>
            <w:lang w:val="en-US"/>
          </w:rPr>
          <w:t>NBK</w:t>
        </w:r>
        <w:r w:rsidRPr="002767E3">
          <w:rPr>
            <w:rStyle w:val="-"/>
            <w:szCs w:val="24"/>
          </w:rPr>
          <w:t>442010/</w:t>
        </w:r>
      </w:hyperlink>
    </w:p>
    <w:p w:rsidR="008F62AA" w:rsidRPr="002767E3" w:rsidRDefault="008F62AA" w:rsidP="00D102B8">
      <w:pPr>
        <w:rPr>
          <w:szCs w:val="24"/>
          <w:lang w:val="en-US"/>
        </w:rPr>
      </w:pPr>
      <w:r w:rsidRPr="008F62AA">
        <w:rPr>
          <w:szCs w:val="24"/>
          <w:lang w:val="en-US"/>
        </w:rPr>
        <w:t>M. Kremenchutzky, D. Cottrell, G. Rice, W. Hader, J. Baske</w:t>
      </w:r>
      <w:r w:rsidR="002767E3">
        <w:rPr>
          <w:szCs w:val="24"/>
          <w:lang w:val="en-US"/>
        </w:rPr>
        <w:t>rville, W. Koopman, G. C. Ebers</w:t>
      </w:r>
      <w:r w:rsidR="002767E3" w:rsidRPr="002767E3">
        <w:rPr>
          <w:szCs w:val="24"/>
          <w:lang w:val="en-US"/>
        </w:rPr>
        <w:t>. (1999).</w:t>
      </w:r>
      <w:r w:rsidRPr="008F62AA">
        <w:rPr>
          <w:szCs w:val="24"/>
          <w:lang w:val="en-US"/>
        </w:rPr>
        <w:t xml:space="preserve"> The natural history of multiple sclerosis: a geographically based study: 7. Progressive–relapsing and relapsing–progressive multiple sclerosis: a re-evaluation, </w:t>
      </w:r>
      <w:r w:rsidRPr="008F62AA">
        <w:rPr>
          <w:i/>
          <w:iCs/>
          <w:szCs w:val="24"/>
          <w:lang w:val="en-US"/>
        </w:rPr>
        <w:t>Brain</w:t>
      </w:r>
      <w:r w:rsidRPr="008F62AA">
        <w:rPr>
          <w:szCs w:val="24"/>
          <w:lang w:val="en-US"/>
        </w:rPr>
        <w:t xml:space="preserve">, </w:t>
      </w:r>
      <w:r w:rsidRPr="002767E3">
        <w:rPr>
          <w:i/>
          <w:szCs w:val="24"/>
          <w:lang w:val="en-US"/>
        </w:rPr>
        <w:t>122</w:t>
      </w:r>
      <w:r w:rsidR="002767E3" w:rsidRPr="002767E3">
        <w:rPr>
          <w:szCs w:val="24"/>
          <w:lang w:val="en-US"/>
        </w:rPr>
        <w:t>(</w:t>
      </w:r>
      <w:r w:rsidRPr="008F62AA">
        <w:rPr>
          <w:szCs w:val="24"/>
          <w:lang w:val="en-US"/>
        </w:rPr>
        <w:t>10</w:t>
      </w:r>
      <w:r w:rsidR="002767E3" w:rsidRPr="002767E3">
        <w:rPr>
          <w:szCs w:val="24"/>
          <w:lang w:val="en-US"/>
        </w:rPr>
        <w:t xml:space="preserve">), </w:t>
      </w:r>
      <w:r w:rsidRPr="008F62AA">
        <w:rPr>
          <w:szCs w:val="24"/>
          <w:lang w:val="en-US"/>
        </w:rPr>
        <w:t>1941–1950</w:t>
      </w:r>
      <w:r w:rsidR="002767E3" w:rsidRPr="002767E3">
        <w:rPr>
          <w:szCs w:val="24"/>
          <w:lang w:val="en-US"/>
        </w:rPr>
        <w:t>.</w:t>
      </w:r>
    </w:p>
    <w:p w:rsidR="008F62AA" w:rsidRPr="008F62AA" w:rsidRDefault="008F62AA" w:rsidP="00D102B8">
      <w:pPr>
        <w:rPr>
          <w:rStyle w:val="mixed-citation"/>
          <w:szCs w:val="24"/>
          <w:lang w:val="en-US"/>
        </w:rPr>
      </w:pPr>
      <w:r w:rsidRPr="008F62AA">
        <w:rPr>
          <w:rStyle w:val="element-citation"/>
          <w:szCs w:val="24"/>
          <w:lang w:val="en-US"/>
        </w:rPr>
        <w:t xml:space="preserve">Mamarabadi, M., Razjouyan, H., Mohammadi, F., Moghaddasi, M. (2011). Assessment of outcome predictors after first attack of optic neuritis. </w:t>
      </w:r>
      <w:r w:rsidRPr="008F62AA">
        <w:rPr>
          <w:rStyle w:val="ref-journal"/>
          <w:i/>
          <w:szCs w:val="24"/>
          <w:lang w:val="en-US"/>
        </w:rPr>
        <w:t xml:space="preserve">Can J Neurol Sci., </w:t>
      </w:r>
      <w:r w:rsidRPr="008F62AA">
        <w:rPr>
          <w:rStyle w:val="ref-vol"/>
          <w:i/>
          <w:szCs w:val="24"/>
          <w:lang w:val="en-US"/>
        </w:rPr>
        <w:t>38</w:t>
      </w:r>
      <w:r w:rsidRPr="008F62AA">
        <w:rPr>
          <w:rStyle w:val="element-citation"/>
          <w:szCs w:val="24"/>
          <w:lang w:val="en-US"/>
        </w:rPr>
        <w:t>, 887–895.</w:t>
      </w:r>
      <w:r w:rsidRPr="008F62AA">
        <w:rPr>
          <w:rStyle w:val="mixed-citation"/>
          <w:szCs w:val="24"/>
          <w:lang w:val="en-US"/>
        </w:rPr>
        <w:t xml:space="preserve"> </w:t>
      </w:r>
    </w:p>
    <w:p w:rsidR="008F62AA" w:rsidRPr="008F62AA" w:rsidRDefault="008F62AA" w:rsidP="00D102B8">
      <w:pPr>
        <w:rPr>
          <w:bCs/>
          <w:szCs w:val="24"/>
          <w:lang w:val="en-US"/>
        </w:rPr>
      </w:pPr>
      <w:r w:rsidRPr="008F62AA">
        <w:rPr>
          <w:bCs/>
          <w:szCs w:val="24"/>
          <w:lang w:val="en-US"/>
        </w:rPr>
        <w:t xml:space="preserve">Mandler, R.N. (2006). Neuromyelitis optica – Devic's syndrome, update, </w:t>
      </w:r>
      <w:r w:rsidRPr="008F62AA">
        <w:rPr>
          <w:bCs/>
          <w:i/>
          <w:szCs w:val="24"/>
          <w:lang w:val="en-US"/>
        </w:rPr>
        <w:t>Autoimmun. Rev. 5</w:t>
      </w:r>
      <w:r w:rsidRPr="008F62AA">
        <w:rPr>
          <w:bCs/>
          <w:szCs w:val="24"/>
          <w:lang w:val="en-US"/>
        </w:rPr>
        <w:t>, 537–543.</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Mandler, R.N., Ahmed, W., Dencoff, J.E. (1998). Devic's neuromyelitis optica: a prospective study of seven patients treated with prednisone and azathioprine. </w:t>
      </w:r>
      <w:r w:rsidRPr="008F62AA">
        <w:rPr>
          <w:i/>
          <w:lang w:val="en-US"/>
        </w:rPr>
        <w:t>Neurology 51</w:t>
      </w:r>
      <w:r w:rsidRPr="008F62AA">
        <w:rPr>
          <w:lang w:val="en-US"/>
        </w:rPr>
        <w:t>(4), 1219–1220</w:t>
      </w:r>
    </w:p>
    <w:p w:rsidR="008F62AA" w:rsidRPr="008F62AA" w:rsidRDefault="008F62AA" w:rsidP="00D102B8">
      <w:pPr>
        <w:rPr>
          <w:bCs/>
          <w:szCs w:val="24"/>
          <w:lang w:val="en-US"/>
        </w:rPr>
      </w:pPr>
      <w:r w:rsidRPr="008F62AA">
        <w:rPr>
          <w:bCs/>
          <w:szCs w:val="24"/>
          <w:lang w:val="en-US"/>
        </w:rPr>
        <w:t xml:space="preserve">Mandler, R.N., Davis, L.E., Jeffery, D.R., Kornfeld, M.(1993). Devic’s neuromyelitis optica: a clinicopathological study of 8 patients. </w:t>
      </w:r>
      <w:r w:rsidRPr="008F62AA">
        <w:rPr>
          <w:bCs/>
          <w:i/>
          <w:szCs w:val="24"/>
          <w:lang w:val="en-US"/>
        </w:rPr>
        <w:t>Ann Neurol, 34</w:t>
      </w:r>
      <w:r w:rsidRPr="008F62AA">
        <w:rPr>
          <w:bCs/>
          <w:szCs w:val="24"/>
          <w:lang w:val="en-US"/>
        </w:rPr>
        <w:t>, 162-168.</w:t>
      </w:r>
    </w:p>
    <w:p w:rsidR="008F62AA" w:rsidRPr="008F62AA" w:rsidRDefault="008F62AA" w:rsidP="00D102B8">
      <w:pPr>
        <w:rPr>
          <w:bCs/>
          <w:szCs w:val="24"/>
          <w:lang w:val="en-US"/>
        </w:rPr>
      </w:pPr>
      <w:r w:rsidRPr="008F62AA">
        <w:rPr>
          <w:bCs/>
          <w:szCs w:val="24"/>
          <w:lang w:val="en-US"/>
        </w:rPr>
        <w:t>Marques, A.(1943). Da neuromielite ótica: contribuição clínica e etiológica [</w:t>
      </w:r>
      <w:r w:rsidRPr="008F62AA">
        <w:rPr>
          <w:rStyle w:val="tlid-translation"/>
          <w:szCs w:val="24"/>
        </w:rPr>
        <w:t>Οπτική</w:t>
      </w:r>
      <w:r w:rsidRPr="008F62AA">
        <w:rPr>
          <w:rStyle w:val="tlid-translation"/>
          <w:szCs w:val="24"/>
          <w:lang w:val="en-US"/>
        </w:rPr>
        <w:t xml:space="preserve"> </w:t>
      </w:r>
      <w:r w:rsidRPr="008F62AA">
        <w:rPr>
          <w:rStyle w:val="tlid-translation"/>
          <w:szCs w:val="24"/>
        </w:rPr>
        <w:t>νευρομυελίτιδα</w:t>
      </w:r>
      <w:r w:rsidRPr="008F62AA">
        <w:rPr>
          <w:rStyle w:val="tlid-translation"/>
          <w:szCs w:val="24"/>
          <w:lang w:val="en-US"/>
        </w:rPr>
        <w:t xml:space="preserve">: </w:t>
      </w:r>
      <w:r w:rsidRPr="008F62AA">
        <w:rPr>
          <w:rStyle w:val="tlid-translation"/>
          <w:szCs w:val="24"/>
        </w:rPr>
        <w:t>κλινική</w:t>
      </w:r>
      <w:r w:rsidRPr="008F62AA">
        <w:rPr>
          <w:rStyle w:val="tlid-translation"/>
          <w:szCs w:val="24"/>
          <w:lang w:val="en-US"/>
        </w:rPr>
        <w:t xml:space="preserve"> </w:t>
      </w:r>
      <w:r w:rsidRPr="008F62AA">
        <w:rPr>
          <w:rStyle w:val="tlid-translation"/>
          <w:szCs w:val="24"/>
        </w:rPr>
        <w:t>και</w:t>
      </w:r>
      <w:r w:rsidRPr="008F62AA">
        <w:rPr>
          <w:rStyle w:val="tlid-translation"/>
          <w:szCs w:val="24"/>
          <w:lang w:val="en-US"/>
        </w:rPr>
        <w:t xml:space="preserve"> </w:t>
      </w:r>
      <w:r w:rsidRPr="008F62AA">
        <w:rPr>
          <w:rStyle w:val="tlid-translation"/>
          <w:szCs w:val="24"/>
        </w:rPr>
        <w:t>αιτιολογική</w:t>
      </w:r>
      <w:r w:rsidRPr="008F62AA">
        <w:rPr>
          <w:rStyle w:val="tlid-translation"/>
          <w:szCs w:val="24"/>
          <w:lang w:val="en-US"/>
        </w:rPr>
        <w:t xml:space="preserve"> </w:t>
      </w:r>
      <w:r w:rsidRPr="008F62AA">
        <w:rPr>
          <w:rStyle w:val="tlid-translation"/>
          <w:szCs w:val="24"/>
        </w:rPr>
        <w:t>συμβολή</w:t>
      </w:r>
      <w:r w:rsidRPr="008F62AA">
        <w:rPr>
          <w:rStyle w:val="tlid-translation"/>
          <w:szCs w:val="24"/>
          <w:lang w:val="en-US"/>
        </w:rPr>
        <w:t>]</w:t>
      </w:r>
      <w:r w:rsidRPr="008F62AA">
        <w:rPr>
          <w:bCs/>
          <w:szCs w:val="24"/>
          <w:lang w:val="en-US"/>
        </w:rPr>
        <w:t>.</w:t>
      </w:r>
      <w:r w:rsidRPr="008F62AA">
        <w:rPr>
          <w:bCs/>
          <w:i/>
          <w:szCs w:val="24"/>
          <w:lang w:val="en-US"/>
        </w:rPr>
        <w:t xml:space="preserve"> Hospital, ;24, </w:t>
      </w:r>
      <w:r w:rsidRPr="008F62AA">
        <w:rPr>
          <w:bCs/>
          <w:szCs w:val="24"/>
          <w:lang w:val="en-US"/>
        </w:rPr>
        <w:t>49-63.</w:t>
      </w:r>
    </w:p>
    <w:p w:rsidR="008F62AA" w:rsidRPr="008F62AA" w:rsidRDefault="008F62AA" w:rsidP="00D102B8">
      <w:pPr>
        <w:rPr>
          <w:bCs/>
          <w:szCs w:val="24"/>
          <w:lang w:val="en-US"/>
        </w:rPr>
      </w:pPr>
      <w:r w:rsidRPr="008F62AA">
        <w:rPr>
          <w:bCs/>
          <w:szCs w:val="24"/>
          <w:lang w:val="en-US"/>
        </w:rPr>
        <w:t xml:space="preserve">Matà, S. &amp; Lolli, F. (2011). Neuromyelitis optica: An update, </w:t>
      </w:r>
      <w:r w:rsidRPr="008F62AA">
        <w:rPr>
          <w:bCs/>
          <w:i/>
          <w:szCs w:val="24"/>
          <w:lang w:val="en-US"/>
        </w:rPr>
        <w:t>J. Neurol. Sci. 303</w:t>
      </w:r>
      <w:r w:rsidRPr="008F62AA">
        <w:rPr>
          <w:bCs/>
          <w:szCs w:val="24"/>
          <w:lang w:val="en-US"/>
        </w:rPr>
        <w:t>, 13–21.</w:t>
      </w:r>
    </w:p>
    <w:p w:rsidR="008F62AA" w:rsidRPr="008F62AA" w:rsidRDefault="008F62AA" w:rsidP="00D102B8">
      <w:pPr>
        <w:autoSpaceDE w:val="0"/>
        <w:autoSpaceDN w:val="0"/>
        <w:adjustRightInd w:val="0"/>
        <w:rPr>
          <w:szCs w:val="24"/>
          <w:lang w:val="en-US" w:eastAsia="el-GR"/>
        </w:rPr>
      </w:pPr>
      <w:r w:rsidRPr="008F62AA">
        <w:rPr>
          <w:szCs w:val="24"/>
          <w:lang w:val="en-US" w:eastAsia="el-GR"/>
        </w:rPr>
        <w:t>Matthews, L., Marasco, R., Jenkinson, M.</w:t>
      </w:r>
      <w:r w:rsidRPr="008F62AA">
        <w:rPr>
          <w:i/>
          <w:iCs/>
          <w:szCs w:val="24"/>
          <w:lang w:val="en-US" w:eastAsia="el-GR"/>
        </w:rPr>
        <w:t>, et al</w:t>
      </w:r>
      <w:r w:rsidRPr="008F62AA">
        <w:rPr>
          <w:szCs w:val="24"/>
          <w:lang w:val="en-US" w:eastAsia="el-GR"/>
        </w:rPr>
        <w:t xml:space="preserve">. (2013). Distinction of seropositive NMO spectrum disorder and MS brain lesion distribution. </w:t>
      </w:r>
      <w:r w:rsidRPr="008F62AA">
        <w:rPr>
          <w:i/>
          <w:iCs/>
          <w:szCs w:val="24"/>
          <w:lang w:val="en-US" w:eastAsia="el-GR"/>
        </w:rPr>
        <w:t>Neurology</w:t>
      </w:r>
      <w:r w:rsidRPr="008F62AA">
        <w:rPr>
          <w:szCs w:val="24"/>
          <w:lang w:val="en-US" w:eastAsia="el-GR"/>
        </w:rPr>
        <w:t xml:space="preserve">, </w:t>
      </w:r>
      <w:r w:rsidRPr="008F62AA">
        <w:rPr>
          <w:i/>
          <w:szCs w:val="24"/>
          <w:lang w:val="en-US" w:eastAsia="el-GR"/>
        </w:rPr>
        <w:t>80</w:t>
      </w:r>
      <w:r w:rsidRPr="008F62AA">
        <w:rPr>
          <w:szCs w:val="24"/>
          <w:lang w:val="en-US" w:eastAsia="el-GR"/>
        </w:rPr>
        <w:t>, 1330–1337.</w:t>
      </w:r>
    </w:p>
    <w:p w:rsidR="008F62AA" w:rsidRPr="008F62AA" w:rsidRDefault="008F62AA" w:rsidP="00D102B8">
      <w:pPr>
        <w:autoSpaceDE w:val="0"/>
        <w:autoSpaceDN w:val="0"/>
        <w:adjustRightInd w:val="0"/>
        <w:rPr>
          <w:szCs w:val="24"/>
          <w:lang w:val="en-US" w:eastAsia="el-GR"/>
        </w:rPr>
      </w:pPr>
      <w:r w:rsidRPr="008F62AA">
        <w:rPr>
          <w:szCs w:val="24"/>
          <w:lang w:val="en-US" w:eastAsia="el-GR"/>
        </w:rPr>
        <w:t>Mayr, W., Pittock, S., McClelland, R.</w:t>
      </w:r>
      <w:r w:rsidRPr="008F62AA">
        <w:rPr>
          <w:i/>
          <w:iCs/>
          <w:szCs w:val="24"/>
          <w:lang w:val="en-US" w:eastAsia="el-GR"/>
        </w:rPr>
        <w:t>, et al</w:t>
      </w:r>
      <w:r w:rsidRPr="008F62AA">
        <w:rPr>
          <w:szCs w:val="24"/>
          <w:lang w:val="en-US" w:eastAsia="el-GR"/>
        </w:rPr>
        <w:t xml:space="preserve">. (2003). Incidence and prevalence of multiple sclerosis in Olmsted County, Minnesota, 1985–2000. </w:t>
      </w:r>
      <w:r w:rsidRPr="008F62AA">
        <w:rPr>
          <w:i/>
          <w:iCs/>
          <w:szCs w:val="24"/>
          <w:lang w:val="en-US" w:eastAsia="el-GR"/>
        </w:rPr>
        <w:t>Neurology,</w:t>
      </w:r>
      <w:r w:rsidRPr="008F62AA">
        <w:rPr>
          <w:i/>
          <w:szCs w:val="24"/>
          <w:lang w:val="en-US" w:eastAsia="el-GR"/>
        </w:rPr>
        <w:t xml:space="preserve"> 61</w:t>
      </w:r>
      <w:r w:rsidRPr="008F62AA">
        <w:rPr>
          <w:szCs w:val="24"/>
          <w:lang w:val="en-US" w:eastAsia="el-GR"/>
        </w:rPr>
        <w:t>, 1373–1377.</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lastRenderedPageBreak/>
        <w:t xml:space="preserve">Mealy, M.A., Wingerchuk, D.M., Palace, J., Greenberg, B.M., Levy, M. (2014), Comparison of relapse and treatment failure rates among patients with neuromyelitis optica: multicenter study of treatment efficacy. </w:t>
      </w:r>
      <w:r w:rsidRPr="008F62AA">
        <w:rPr>
          <w:i/>
          <w:lang w:val="en-US"/>
        </w:rPr>
        <w:t>JAMA Neurol 71</w:t>
      </w:r>
      <w:r w:rsidRPr="008F62AA">
        <w:rPr>
          <w:lang w:val="en-US"/>
        </w:rPr>
        <w:t>(3):324–330.</w:t>
      </w:r>
    </w:p>
    <w:p w:rsidR="008F62AA" w:rsidRPr="008F62AA" w:rsidRDefault="008F62AA" w:rsidP="00D102B8">
      <w:pPr>
        <w:autoSpaceDE w:val="0"/>
        <w:autoSpaceDN w:val="0"/>
        <w:adjustRightInd w:val="0"/>
        <w:rPr>
          <w:szCs w:val="24"/>
          <w:lang w:val="en-US" w:eastAsia="el-GR"/>
        </w:rPr>
      </w:pPr>
      <w:r w:rsidRPr="008F62AA">
        <w:rPr>
          <w:szCs w:val="24"/>
          <w:lang w:val="en-US" w:eastAsia="el-GR"/>
        </w:rPr>
        <w:t>Merle, H., Olindo, S., Bonnan, M.</w:t>
      </w:r>
      <w:r w:rsidRPr="008F62AA">
        <w:rPr>
          <w:i/>
          <w:iCs/>
          <w:szCs w:val="24"/>
          <w:lang w:val="en-US" w:eastAsia="el-GR"/>
        </w:rPr>
        <w:t>, et al</w:t>
      </w:r>
      <w:r w:rsidRPr="008F62AA">
        <w:rPr>
          <w:szCs w:val="24"/>
          <w:lang w:val="en-US" w:eastAsia="el-GR"/>
        </w:rPr>
        <w:t xml:space="preserve">. (2007). Natural history of the visual impairment of relapsing neuromyelitis optica. </w:t>
      </w:r>
      <w:r w:rsidRPr="008F62AA">
        <w:rPr>
          <w:i/>
          <w:iCs/>
          <w:szCs w:val="24"/>
          <w:lang w:val="en-US" w:eastAsia="el-GR"/>
        </w:rPr>
        <w:t xml:space="preserve">Ophthalmology, </w:t>
      </w:r>
      <w:r w:rsidRPr="008F62AA">
        <w:rPr>
          <w:i/>
          <w:szCs w:val="24"/>
          <w:lang w:val="en-US" w:eastAsia="el-GR"/>
        </w:rPr>
        <w:t>114,</w:t>
      </w:r>
      <w:r w:rsidRPr="008F62AA">
        <w:rPr>
          <w:szCs w:val="24"/>
          <w:lang w:val="en-US" w:eastAsia="el-GR"/>
        </w:rPr>
        <w:t xml:space="preserve"> 810–815.</w:t>
      </w:r>
    </w:p>
    <w:p w:rsidR="008F62AA" w:rsidRPr="008F62AA" w:rsidRDefault="008F62AA" w:rsidP="00D102B8">
      <w:pPr>
        <w:rPr>
          <w:szCs w:val="24"/>
          <w:lang w:val="en-US"/>
        </w:rPr>
      </w:pPr>
      <w:r w:rsidRPr="008F62AA">
        <w:rPr>
          <w:rStyle w:val="mixed-citation"/>
          <w:szCs w:val="24"/>
          <w:lang w:val="en-US"/>
        </w:rPr>
        <w:t xml:space="preserve">Milinis, K., Tennant, A., Young, C.A. (2016). TONiC study group . </w:t>
      </w:r>
      <w:r w:rsidRPr="008F62AA">
        <w:rPr>
          <w:rStyle w:val="ref-title"/>
          <w:szCs w:val="24"/>
          <w:lang w:val="en-US"/>
        </w:rPr>
        <w:t>spasticity in multiple sclerosis: associations with impairments and overall quality of life</w:t>
      </w:r>
      <w:r w:rsidRPr="008F62AA">
        <w:rPr>
          <w:rStyle w:val="mixed-citation"/>
          <w:szCs w:val="24"/>
          <w:lang w:val="en-US"/>
        </w:rPr>
        <w:t xml:space="preserve">. </w:t>
      </w:r>
      <w:r w:rsidRPr="008F62AA">
        <w:rPr>
          <w:rStyle w:val="ref-journal"/>
          <w:i/>
          <w:szCs w:val="24"/>
          <w:lang w:val="en-US"/>
        </w:rPr>
        <w:t>Mult Scler Relat Disord</w:t>
      </w:r>
      <w:r w:rsidRPr="008F62AA">
        <w:rPr>
          <w:rStyle w:val="mixed-citation"/>
          <w:i/>
          <w:szCs w:val="24"/>
          <w:lang w:val="en-US"/>
        </w:rPr>
        <w:t xml:space="preserve">., </w:t>
      </w:r>
      <w:r w:rsidRPr="008F62AA">
        <w:rPr>
          <w:rStyle w:val="ref-vol"/>
          <w:i/>
          <w:szCs w:val="24"/>
          <w:lang w:val="en-US"/>
        </w:rPr>
        <w:t xml:space="preserve">5, </w:t>
      </w:r>
      <w:r w:rsidRPr="008F62AA">
        <w:rPr>
          <w:rStyle w:val="mixed-citation"/>
          <w:szCs w:val="24"/>
          <w:lang w:val="en-US"/>
        </w:rPr>
        <w:t>34–9.</w:t>
      </w:r>
    </w:p>
    <w:p w:rsidR="008F62AA" w:rsidRPr="008F62AA" w:rsidRDefault="008F62AA" w:rsidP="00D102B8">
      <w:pPr>
        <w:rPr>
          <w:szCs w:val="24"/>
          <w:lang w:val="en-US" w:eastAsia="el-GR"/>
        </w:rPr>
      </w:pPr>
      <w:r w:rsidRPr="008F62AA">
        <w:rPr>
          <w:rStyle w:val="element-citation"/>
          <w:szCs w:val="24"/>
          <w:lang w:val="en-US"/>
        </w:rPr>
        <w:t xml:space="preserve">Miller, D., Barkhof, F., Montalban, X., Thompson, A. &amp; Filippi, M. (2005). Clinically isolated syndromes suggestive of multiple sclerosis, part 2: non-conventional MRI, recovery processes, and management. </w:t>
      </w:r>
      <w:r w:rsidRPr="008F62AA">
        <w:rPr>
          <w:rStyle w:val="ref-journal"/>
          <w:i/>
          <w:szCs w:val="24"/>
          <w:lang w:val="en-US"/>
        </w:rPr>
        <w:t>Lancet Neurol.</w:t>
      </w:r>
      <w:r w:rsidRPr="008F62AA">
        <w:rPr>
          <w:rStyle w:val="element-citation"/>
          <w:i/>
          <w:szCs w:val="24"/>
          <w:lang w:val="en-US"/>
        </w:rPr>
        <w:t xml:space="preserve">, </w:t>
      </w:r>
      <w:r w:rsidRPr="008F62AA">
        <w:rPr>
          <w:rStyle w:val="ref-vol"/>
          <w:i/>
          <w:szCs w:val="24"/>
          <w:lang w:val="en-US"/>
        </w:rPr>
        <w:t>4</w:t>
      </w:r>
      <w:r w:rsidRPr="008F62AA">
        <w:rPr>
          <w:rStyle w:val="element-citation"/>
          <w:szCs w:val="24"/>
          <w:lang w:val="en-US"/>
        </w:rPr>
        <w:t>, 341–348.</w:t>
      </w:r>
    </w:p>
    <w:p w:rsidR="008F62AA" w:rsidRPr="008F62AA" w:rsidRDefault="008F62AA" w:rsidP="00D102B8">
      <w:pPr>
        <w:rPr>
          <w:szCs w:val="24"/>
          <w:lang w:val="en-US" w:eastAsia="el-GR"/>
        </w:rPr>
      </w:pPr>
      <w:r w:rsidRPr="008F62AA">
        <w:rPr>
          <w:rStyle w:val="element-citation"/>
          <w:szCs w:val="24"/>
          <w:lang w:val="en-US"/>
        </w:rPr>
        <w:t xml:space="preserve">Miller, D.H., Chard, D.T. &amp; Ciccarelli, O. (2012). Clinically isolated syndromes. </w:t>
      </w:r>
      <w:r w:rsidRPr="008F62AA">
        <w:rPr>
          <w:rStyle w:val="ref-journal"/>
          <w:i/>
          <w:szCs w:val="24"/>
          <w:lang w:val="en-US"/>
        </w:rPr>
        <w:t xml:space="preserve">Lancet Neurol., </w:t>
      </w:r>
      <w:r w:rsidRPr="008F62AA">
        <w:rPr>
          <w:rStyle w:val="ref-vol"/>
          <w:i/>
          <w:szCs w:val="24"/>
          <w:lang w:val="en-US"/>
        </w:rPr>
        <w:t xml:space="preserve">11, </w:t>
      </w:r>
      <w:r w:rsidRPr="008F62AA">
        <w:rPr>
          <w:rStyle w:val="element-citation"/>
          <w:szCs w:val="24"/>
          <w:lang w:val="en-US"/>
        </w:rPr>
        <w:t>157–169.</w:t>
      </w:r>
      <w:r w:rsidRPr="008F62AA">
        <w:rPr>
          <w:szCs w:val="24"/>
          <w:lang w:val="en-US" w:eastAsia="el-GR"/>
        </w:rPr>
        <w:t xml:space="preserve"> </w:t>
      </w:r>
    </w:p>
    <w:p w:rsidR="008F62AA" w:rsidRPr="008F62AA" w:rsidRDefault="008F62AA" w:rsidP="00D102B8">
      <w:pPr>
        <w:autoSpaceDE w:val="0"/>
        <w:autoSpaceDN w:val="0"/>
        <w:adjustRightInd w:val="0"/>
        <w:rPr>
          <w:szCs w:val="24"/>
          <w:lang w:val="en-US" w:eastAsia="el-GR"/>
        </w:rPr>
      </w:pPr>
      <w:r w:rsidRPr="008F62AA">
        <w:rPr>
          <w:szCs w:val="24"/>
          <w:lang w:val="en-US" w:eastAsia="el-GR"/>
        </w:rPr>
        <w:t xml:space="preserve">Misu, T., Hoftberger, R., Fujihara, K., Wimmer, I., Takai, Y., Nishiyama, S., Nakashima, I., Konno, H., Bradl, M., Garzuly, F., Itoyama, Y., Aoki, M., Lassmann, H. (2013). Presence of six different lesion types suggests diverse mechanisms of tissue injury in neuromyelitis optica. </w:t>
      </w:r>
      <w:r w:rsidRPr="008F62AA">
        <w:rPr>
          <w:i/>
          <w:szCs w:val="24"/>
          <w:lang w:val="en-US" w:eastAsia="el-GR"/>
        </w:rPr>
        <w:t>Acta Neuropathol., 125</w:t>
      </w:r>
      <w:r w:rsidRPr="008F62AA">
        <w:rPr>
          <w:szCs w:val="24"/>
          <w:lang w:val="en-US" w:eastAsia="el-GR"/>
        </w:rPr>
        <w:t>,815-827.</w:t>
      </w:r>
    </w:p>
    <w:p w:rsidR="008F62AA" w:rsidRPr="008F62AA" w:rsidRDefault="008F62AA" w:rsidP="00D102B8">
      <w:pPr>
        <w:autoSpaceDE w:val="0"/>
        <w:autoSpaceDN w:val="0"/>
        <w:adjustRightInd w:val="0"/>
        <w:rPr>
          <w:szCs w:val="24"/>
          <w:lang w:val="en-US" w:eastAsia="el-GR"/>
        </w:rPr>
      </w:pPr>
      <w:r w:rsidRPr="008F62AA">
        <w:rPr>
          <w:szCs w:val="24"/>
          <w:lang w:val="en-US" w:eastAsia="el-GR"/>
        </w:rPr>
        <w:t xml:space="preserve">Miyamoto, K. (2015). Epidemiology of neuromyelitis optica. </w:t>
      </w:r>
      <w:r w:rsidRPr="008F62AA">
        <w:rPr>
          <w:i/>
          <w:iCs/>
          <w:szCs w:val="24"/>
          <w:lang w:val="en-US" w:eastAsia="el-GR"/>
        </w:rPr>
        <w:t>Nihon Rinsho,</w:t>
      </w:r>
      <w:r w:rsidRPr="008F62AA">
        <w:rPr>
          <w:szCs w:val="24"/>
          <w:lang w:val="en-US" w:eastAsia="el-GR"/>
        </w:rPr>
        <w:t xml:space="preserve"> </w:t>
      </w:r>
      <w:r w:rsidRPr="008F62AA">
        <w:rPr>
          <w:i/>
          <w:szCs w:val="24"/>
          <w:lang w:val="en-US" w:eastAsia="el-GR"/>
        </w:rPr>
        <w:t>73</w:t>
      </w:r>
      <w:r w:rsidRPr="008F62AA">
        <w:rPr>
          <w:szCs w:val="24"/>
          <w:lang w:val="en-US" w:eastAsia="el-GR"/>
        </w:rPr>
        <w:t>(7), 260–264.</w:t>
      </w:r>
    </w:p>
    <w:p w:rsidR="008F62AA" w:rsidRPr="008F62AA" w:rsidRDefault="008F62AA" w:rsidP="00D102B8">
      <w:pPr>
        <w:autoSpaceDE w:val="0"/>
        <w:autoSpaceDN w:val="0"/>
        <w:adjustRightInd w:val="0"/>
        <w:rPr>
          <w:szCs w:val="24"/>
          <w:lang w:val="en-US" w:eastAsia="el-GR"/>
        </w:rPr>
      </w:pPr>
      <w:r w:rsidRPr="008F62AA">
        <w:rPr>
          <w:szCs w:val="24"/>
          <w:lang w:val="en-US" w:eastAsia="el-GR"/>
        </w:rPr>
        <w:t>Nakajima, H., Hosokawa, T., Sugino, M.</w:t>
      </w:r>
      <w:r w:rsidRPr="008F62AA">
        <w:rPr>
          <w:i/>
          <w:iCs/>
          <w:szCs w:val="24"/>
          <w:lang w:val="en-US" w:eastAsia="el-GR"/>
        </w:rPr>
        <w:t>, et al</w:t>
      </w:r>
      <w:r w:rsidRPr="008F62AA">
        <w:rPr>
          <w:szCs w:val="24"/>
          <w:lang w:val="en-US" w:eastAsia="el-GR"/>
        </w:rPr>
        <w:t xml:space="preserve">. (2010). Visual field defects of optic neuritis in neuromyelitis optica compared with multiple sclerosis. </w:t>
      </w:r>
      <w:r w:rsidRPr="008F62AA">
        <w:rPr>
          <w:i/>
          <w:iCs/>
          <w:szCs w:val="24"/>
          <w:lang w:val="en-US" w:eastAsia="el-GR"/>
        </w:rPr>
        <w:t xml:space="preserve">BMC Neurol., </w:t>
      </w:r>
      <w:r w:rsidRPr="008F62AA">
        <w:rPr>
          <w:i/>
          <w:szCs w:val="24"/>
          <w:lang w:val="en-US" w:eastAsia="el-GR"/>
        </w:rPr>
        <w:t>10</w:t>
      </w:r>
      <w:r w:rsidRPr="008F62AA">
        <w:rPr>
          <w:szCs w:val="24"/>
          <w:lang w:val="en-US" w:eastAsia="el-GR"/>
        </w:rPr>
        <w:t>, 45.</w:t>
      </w:r>
    </w:p>
    <w:p w:rsidR="008F62AA" w:rsidRPr="008F62AA" w:rsidRDefault="008F62AA" w:rsidP="00D102B8">
      <w:pPr>
        <w:autoSpaceDE w:val="0"/>
        <w:autoSpaceDN w:val="0"/>
        <w:adjustRightInd w:val="0"/>
        <w:rPr>
          <w:szCs w:val="24"/>
          <w:lang w:val="en-US" w:eastAsia="el-GR"/>
        </w:rPr>
      </w:pPr>
      <w:r w:rsidRPr="008F62AA">
        <w:rPr>
          <w:szCs w:val="24"/>
          <w:lang w:val="en-US" w:eastAsia="el-GR"/>
        </w:rPr>
        <w:t>Nakamura, M., Misu, T., Fujihara, K.</w:t>
      </w:r>
      <w:r w:rsidRPr="008F62AA">
        <w:rPr>
          <w:i/>
          <w:iCs/>
          <w:szCs w:val="24"/>
          <w:lang w:val="en-US" w:eastAsia="el-GR"/>
        </w:rPr>
        <w:t>, et al</w:t>
      </w:r>
      <w:r w:rsidRPr="008F62AA">
        <w:rPr>
          <w:szCs w:val="24"/>
          <w:lang w:val="en-US" w:eastAsia="el-GR"/>
        </w:rPr>
        <w:t xml:space="preserve">. (2009). Occurrence of acute large and edematous callosal lesions in neuromyelitis optica. </w:t>
      </w:r>
      <w:r w:rsidRPr="008F62AA">
        <w:rPr>
          <w:i/>
          <w:iCs/>
          <w:szCs w:val="24"/>
          <w:lang w:val="en-US" w:eastAsia="el-GR"/>
        </w:rPr>
        <w:t xml:space="preserve">Mult Scler, </w:t>
      </w:r>
      <w:r w:rsidRPr="008F62AA">
        <w:rPr>
          <w:i/>
          <w:szCs w:val="24"/>
          <w:lang w:val="en-US" w:eastAsia="el-GR"/>
        </w:rPr>
        <w:t>15</w:t>
      </w:r>
      <w:r w:rsidRPr="008F62AA">
        <w:rPr>
          <w:szCs w:val="24"/>
          <w:lang w:val="en-US" w:eastAsia="el-GR"/>
        </w:rPr>
        <w:t>, 695–700.</w:t>
      </w:r>
    </w:p>
    <w:p w:rsidR="008F62AA" w:rsidRPr="008F62AA" w:rsidRDefault="008F62AA" w:rsidP="00D102B8">
      <w:pPr>
        <w:rPr>
          <w:szCs w:val="24"/>
          <w:lang w:val="en-US"/>
        </w:rPr>
      </w:pPr>
      <w:r w:rsidRPr="008F62AA">
        <w:rPr>
          <w:szCs w:val="24"/>
          <w:lang w:val="en-US"/>
        </w:rPr>
        <w:t xml:space="preserve">Nazari, F., Shaygannejad, V., Mohammadi Sichani, M. et al. (2020). The prevalence of lower urinary tract symptoms based on individual and clinical parameters in patients with multiple sclerosis. </w:t>
      </w:r>
      <w:r w:rsidRPr="008F62AA">
        <w:rPr>
          <w:i/>
          <w:szCs w:val="24"/>
          <w:lang w:val="en-US"/>
        </w:rPr>
        <w:t>BMC Neurol, 20</w:t>
      </w:r>
      <w:r w:rsidRPr="008F62AA">
        <w:rPr>
          <w:szCs w:val="24"/>
          <w:lang w:val="en-US"/>
        </w:rPr>
        <w:t xml:space="preserve">(24).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Nikoo, Z., Badihian, S., Shaygannejad, V., Asgari, N., Ashtari, F. (2017). Comparison of the efficacy of azathioprine and rituximab in neuromyelitis optica spectrum disorder: a randomized clinical trial. </w:t>
      </w:r>
      <w:r w:rsidRPr="008F62AA">
        <w:rPr>
          <w:i/>
          <w:lang w:val="en-US"/>
        </w:rPr>
        <w:t>J Neurol 264</w:t>
      </w:r>
      <w:r w:rsidRPr="008F62AA">
        <w:rPr>
          <w:lang w:val="en-US"/>
        </w:rPr>
        <w:t>(9), 2003–2009.</w:t>
      </w:r>
    </w:p>
    <w:p w:rsidR="008F62AA" w:rsidRPr="008F62AA" w:rsidRDefault="008F62AA" w:rsidP="00D102B8">
      <w:pPr>
        <w:rPr>
          <w:bCs/>
          <w:szCs w:val="24"/>
          <w:lang w:val="en-US"/>
        </w:rPr>
      </w:pPr>
      <w:r w:rsidRPr="008F62AA">
        <w:rPr>
          <w:bCs/>
          <w:szCs w:val="24"/>
          <w:lang w:val="en-US"/>
        </w:rPr>
        <w:t>Noyes, H.D. (1881). Acute myelitis mit doppelseitiger Neuritis optica [</w:t>
      </w:r>
      <w:r w:rsidRPr="008F62AA">
        <w:rPr>
          <w:rStyle w:val="tlid-translation"/>
          <w:szCs w:val="24"/>
        </w:rPr>
        <w:t>Οξεία</w:t>
      </w:r>
      <w:r w:rsidRPr="008F62AA">
        <w:rPr>
          <w:rStyle w:val="tlid-translation"/>
          <w:szCs w:val="24"/>
          <w:lang w:val="en-US"/>
        </w:rPr>
        <w:t xml:space="preserve"> </w:t>
      </w:r>
      <w:r w:rsidRPr="008F62AA">
        <w:rPr>
          <w:rStyle w:val="tlid-translation"/>
          <w:szCs w:val="24"/>
        </w:rPr>
        <w:t>μυελίτιδα</w:t>
      </w:r>
      <w:r w:rsidRPr="008F62AA">
        <w:rPr>
          <w:rStyle w:val="tlid-translation"/>
          <w:szCs w:val="24"/>
          <w:lang w:val="en-US"/>
        </w:rPr>
        <w:t xml:space="preserve"> </w:t>
      </w:r>
      <w:r w:rsidRPr="008F62AA">
        <w:rPr>
          <w:rStyle w:val="tlid-translation"/>
          <w:szCs w:val="24"/>
        </w:rPr>
        <w:t>με</w:t>
      </w:r>
      <w:r w:rsidRPr="008F62AA">
        <w:rPr>
          <w:rStyle w:val="tlid-translation"/>
          <w:szCs w:val="24"/>
          <w:lang w:val="en-US"/>
        </w:rPr>
        <w:t xml:space="preserve"> </w:t>
      </w:r>
      <w:r w:rsidRPr="008F62AA">
        <w:rPr>
          <w:rStyle w:val="tlid-translation"/>
          <w:szCs w:val="24"/>
        </w:rPr>
        <w:t>διμερή</w:t>
      </w:r>
      <w:r w:rsidRPr="008F62AA">
        <w:rPr>
          <w:rStyle w:val="tlid-translation"/>
          <w:szCs w:val="24"/>
          <w:lang w:val="en-US"/>
        </w:rPr>
        <w:t xml:space="preserve"> </w:t>
      </w:r>
      <w:r w:rsidRPr="008F62AA">
        <w:rPr>
          <w:rStyle w:val="tlid-translation"/>
          <w:szCs w:val="24"/>
        </w:rPr>
        <w:t>οπτική</w:t>
      </w:r>
      <w:r w:rsidRPr="008F62AA">
        <w:rPr>
          <w:rStyle w:val="tlid-translation"/>
          <w:szCs w:val="24"/>
          <w:lang w:val="en-US"/>
        </w:rPr>
        <w:t xml:space="preserve"> </w:t>
      </w:r>
      <w:r w:rsidRPr="008F62AA">
        <w:rPr>
          <w:rStyle w:val="tlid-translation"/>
          <w:szCs w:val="24"/>
        </w:rPr>
        <w:t>νευρίτιδα</w:t>
      </w:r>
      <w:r w:rsidRPr="008F62AA">
        <w:rPr>
          <w:rStyle w:val="tlid-translation"/>
          <w:szCs w:val="24"/>
          <w:lang w:val="en-US"/>
        </w:rPr>
        <w:t>]</w:t>
      </w:r>
      <w:r w:rsidRPr="008F62AA">
        <w:rPr>
          <w:bCs/>
          <w:szCs w:val="24"/>
          <w:lang w:val="en-US"/>
        </w:rPr>
        <w:t xml:space="preserve">. </w:t>
      </w:r>
      <w:r w:rsidRPr="008F62AA">
        <w:rPr>
          <w:bCs/>
          <w:i/>
          <w:szCs w:val="24"/>
          <w:lang w:val="en-US"/>
        </w:rPr>
        <w:t xml:space="preserve">Arch F Augenheilk, </w:t>
      </w:r>
      <w:r w:rsidRPr="008F62AA">
        <w:rPr>
          <w:bCs/>
          <w:szCs w:val="24"/>
          <w:lang w:val="en-US"/>
        </w:rPr>
        <w:t xml:space="preserve">331. </w:t>
      </w:r>
    </w:p>
    <w:p w:rsidR="008F62AA" w:rsidRPr="008F62AA" w:rsidRDefault="008F62AA" w:rsidP="00D102B8">
      <w:pPr>
        <w:rPr>
          <w:bCs/>
          <w:szCs w:val="24"/>
          <w:lang w:val="en-US"/>
        </w:rPr>
      </w:pPr>
      <w:r w:rsidRPr="008F62AA">
        <w:rPr>
          <w:bCs/>
          <w:szCs w:val="24"/>
          <w:lang w:val="en-US"/>
        </w:rPr>
        <w:lastRenderedPageBreak/>
        <w:t xml:space="preserve">O’Connor, P., Wolinsky, J.S., Confavreux, C., et al (2011). TEMSO Trial Group. Randomized trial of oral teriflunomide for relapsing multiple sclerosis. </w:t>
      </w:r>
      <w:r w:rsidRPr="008F62AA">
        <w:rPr>
          <w:bCs/>
          <w:i/>
          <w:iCs/>
          <w:szCs w:val="24"/>
          <w:lang w:val="en-US"/>
        </w:rPr>
        <w:t>N Engl J Med</w:t>
      </w:r>
      <w:r w:rsidRPr="008F62AA">
        <w:rPr>
          <w:bCs/>
          <w:szCs w:val="24"/>
          <w:lang w:val="en-US"/>
        </w:rPr>
        <w:t xml:space="preserve"> </w:t>
      </w:r>
      <w:r w:rsidRPr="008F62AA">
        <w:rPr>
          <w:bCs/>
          <w:i/>
          <w:szCs w:val="24"/>
          <w:lang w:val="en-US"/>
        </w:rPr>
        <w:t>365</w:t>
      </w:r>
      <w:r w:rsidRPr="008F62AA">
        <w:rPr>
          <w:bCs/>
          <w:szCs w:val="24"/>
          <w:lang w:val="en-US"/>
        </w:rPr>
        <w:t>, 1293-1303.</w:t>
      </w:r>
    </w:p>
    <w:p w:rsidR="008F62AA" w:rsidRPr="008F62AA" w:rsidRDefault="008F62AA" w:rsidP="00D102B8">
      <w:pPr>
        <w:rPr>
          <w:bCs/>
          <w:szCs w:val="24"/>
          <w:lang w:val="en-US"/>
        </w:rPr>
      </w:pPr>
      <w:r w:rsidRPr="008F62AA">
        <w:rPr>
          <w:bCs/>
          <w:szCs w:val="24"/>
          <w:lang w:val="en-US"/>
        </w:rPr>
        <w:t xml:space="preserve">O’Riordan, J.I., Gallagher, H.L., Thompson, A.J., et al. (1996). Clinical, CSF, and MRI findings in Devic’s neuromyelitis optica. </w:t>
      </w:r>
      <w:r w:rsidRPr="008F62AA">
        <w:rPr>
          <w:bCs/>
          <w:i/>
          <w:szCs w:val="24"/>
          <w:lang w:val="en-US"/>
        </w:rPr>
        <w:t xml:space="preserve">J Neurol Neurosurg Psychiatry, 60, </w:t>
      </w:r>
      <w:r w:rsidRPr="008F62AA">
        <w:rPr>
          <w:bCs/>
          <w:szCs w:val="24"/>
          <w:lang w:val="en-US"/>
        </w:rPr>
        <w:t>382-387.</w:t>
      </w:r>
    </w:p>
    <w:p w:rsidR="008F62AA" w:rsidRPr="008F62AA" w:rsidRDefault="008F62AA" w:rsidP="00D102B8">
      <w:pPr>
        <w:autoSpaceDE w:val="0"/>
        <w:autoSpaceDN w:val="0"/>
        <w:adjustRightInd w:val="0"/>
        <w:rPr>
          <w:szCs w:val="24"/>
          <w:lang w:val="en-US" w:eastAsia="el-GR"/>
        </w:rPr>
      </w:pPr>
      <w:r w:rsidRPr="008F62AA">
        <w:rPr>
          <w:szCs w:val="24"/>
          <w:lang w:val="en-US" w:eastAsia="el-GR"/>
        </w:rPr>
        <w:t xml:space="preserve">Ochi, H. &amp; Fujihara, K. (2016). Demyelinating diseases in Asia. </w:t>
      </w:r>
      <w:r w:rsidRPr="008F62AA">
        <w:rPr>
          <w:i/>
          <w:iCs/>
          <w:szCs w:val="24"/>
          <w:lang w:val="en-US" w:eastAsia="el-GR"/>
        </w:rPr>
        <w:t>Curr Opin Neurol.,</w:t>
      </w:r>
      <w:r w:rsidRPr="008F62AA">
        <w:rPr>
          <w:i/>
          <w:szCs w:val="24"/>
          <w:lang w:val="en-US" w:eastAsia="el-GR"/>
        </w:rPr>
        <w:t xml:space="preserve"> 29</w:t>
      </w:r>
      <w:r w:rsidRPr="008F62AA">
        <w:rPr>
          <w:szCs w:val="24"/>
          <w:lang w:val="en-US" w:eastAsia="el-GR"/>
        </w:rPr>
        <w:t>, 222–228.</w:t>
      </w:r>
    </w:p>
    <w:p w:rsidR="008F62AA" w:rsidRPr="008F62AA" w:rsidRDefault="008F62AA" w:rsidP="00D102B8">
      <w:pPr>
        <w:rPr>
          <w:rStyle w:val="tlid-translation"/>
          <w:szCs w:val="24"/>
          <w:lang w:val="en-US"/>
        </w:rPr>
      </w:pPr>
      <w:r w:rsidRPr="008F62AA">
        <w:rPr>
          <w:rStyle w:val="tlid-translation"/>
          <w:szCs w:val="24"/>
          <w:lang w:val="en-US"/>
        </w:rPr>
        <w:t xml:space="preserve">Orasanu, B., Grasure, H., Wyman, All. &amp; Mahajan, S.T. (2013). </w:t>
      </w:r>
      <w:r w:rsidRPr="008F62AA">
        <w:rPr>
          <w:bCs/>
          <w:szCs w:val="24"/>
          <w:lang w:val="en-US"/>
        </w:rPr>
        <w:t xml:space="preserve">Sexual dysfunction in patients with multiple sclerosis. </w:t>
      </w:r>
      <w:r w:rsidRPr="008F62AA">
        <w:rPr>
          <w:rStyle w:val="article-headerjournal"/>
          <w:i/>
          <w:szCs w:val="24"/>
          <w:lang w:val="en-US"/>
        </w:rPr>
        <w:t xml:space="preserve">Corrigendum, </w:t>
      </w:r>
      <w:r w:rsidRPr="008F62AA">
        <w:rPr>
          <w:i/>
          <w:szCs w:val="24"/>
          <w:lang w:val="en-US"/>
        </w:rPr>
        <w:t>2</w:t>
      </w:r>
      <w:r w:rsidRPr="008F62AA">
        <w:rPr>
          <w:szCs w:val="24"/>
          <w:lang w:val="en-US"/>
        </w:rPr>
        <w:t>(3).</w:t>
      </w:r>
    </w:p>
    <w:p w:rsidR="008F62AA" w:rsidRPr="008F62AA" w:rsidRDefault="008F62AA" w:rsidP="00D102B8">
      <w:pPr>
        <w:autoSpaceDE w:val="0"/>
        <w:autoSpaceDN w:val="0"/>
        <w:adjustRightInd w:val="0"/>
        <w:rPr>
          <w:szCs w:val="24"/>
          <w:lang w:val="en-US" w:eastAsia="el-GR"/>
        </w:rPr>
      </w:pPr>
      <w:r w:rsidRPr="008F62AA">
        <w:rPr>
          <w:szCs w:val="24"/>
          <w:lang w:val="en-US"/>
        </w:rPr>
        <w:t xml:space="preserve">Orologas, </w:t>
      </w:r>
      <w:r w:rsidRPr="008F62AA">
        <w:rPr>
          <w:szCs w:val="24"/>
        </w:rPr>
        <w:t>Α</w:t>
      </w:r>
      <w:r w:rsidRPr="008F62AA">
        <w:rPr>
          <w:szCs w:val="24"/>
          <w:lang w:val="en-US"/>
        </w:rPr>
        <w:t xml:space="preserve">., Thomaidis, G., Baloyianni, </w:t>
      </w:r>
      <w:r w:rsidRPr="008F62AA">
        <w:rPr>
          <w:szCs w:val="24"/>
        </w:rPr>
        <w:t>Ε</w:t>
      </w:r>
      <w:r w:rsidRPr="008F62AA">
        <w:rPr>
          <w:szCs w:val="24"/>
          <w:lang w:val="en-US"/>
        </w:rPr>
        <w:t xml:space="preserve">., Kalpatsanidis, </w:t>
      </w:r>
      <w:r w:rsidRPr="008F62AA">
        <w:rPr>
          <w:szCs w:val="24"/>
        </w:rPr>
        <w:t>Α</w:t>
      </w:r>
      <w:r w:rsidRPr="008F62AA">
        <w:rPr>
          <w:szCs w:val="24"/>
          <w:lang w:val="en-US"/>
        </w:rPr>
        <w:t xml:space="preserve">., Daglis, </w:t>
      </w:r>
      <w:r w:rsidRPr="008F62AA">
        <w:rPr>
          <w:szCs w:val="24"/>
        </w:rPr>
        <w:t>Ι</w:t>
      </w:r>
      <w:r w:rsidRPr="008F62AA">
        <w:rPr>
          <w:szCs w:val="24"/>
          <w:lang w:val="en-US"/>
        </w:rPr>
        <w:t xml:space="preserve">., Tsantaki, </w:t>
      </w:r>
      <w:r w:rsidRPr="008F62AA">
        <w:rPr>
          <w:szCs w:val="24"/>
        </w:rPr>
        <w:t>Ε</w:t>
      </w:r>
      <w:r w:rsidRPr="008F62AA">
        <w:rPr>
          <w:szCs w:val="24"/>
          <w:lang w:val="en-US"/>
        </w:rPr>
        <w:t xml:space="preserve">. (2010). </w:t>
      </w:r>
      <w:r w:rsidRPr="008F62AA">
        <w:rPr>
          <w:i/>
          <w:iCs/>
          <w:szCs w:val="24"/>
          <w:lang w:val="en-US"/>
        </w:rPr>
        <w:t>The economic and social impacts of MS in Greece– Pilot study</w:t>
      </w:r>
      <w:r w:rsidRPr="008F62AA">
        <w:rPr>
          <w:szCs w:val="24"/>
          <w:lang w:val="en-US"/>
        </w:rPr>
        <w:t>, 24</w:t>
      </w:r>
      <w:r w:rsidRPr="008F62AA">
        <w:rPr>
          <w:szCs w:val="24"/>
          <w:vertAlign w:val="superscript"/>
          <w:lang w:val="en-US"/>
        </w:rPr>
        <w:t>th</w:t>
      </w:r>
      <w:r w:rsidRPr="008F62AA">
        <w:rPr>
          <w:szCs w:val="24"/>
          <w:lang w:val="en-US"/>
        </w:rPr>
        <w:t xml:space="preserve"> annual congress of the Hellenic Neurological Society. Kos. 20th -23rd May.</w:t>
      </w:r>
    </w:p>
    <w:p w:rsidR="008F62AA" w:rsidRPr="008F62AA" w:rsidRDefault="008F62AA" w:rsidP="00D102B8">
      <w:pPr>
        <w:rPr>
          <w:szCs w:val="24"/>
          <w:lang w:val="en-US" w:eastAsia="el-GR"/>
        </w:rPr>
      </w:pPr>
      <w:r w:rsidRPr="008F62AA">
        <w:rPr>
          <w:szCs w:val="24"/>
          <w:lang w:val="en-US" w:eastAsia="el-GR"/>
        </w:rPr>
        <w:t xml:space="preserve">Orton, S.M., Wald, L., Confavreux, C., Vukusic, S,. Krohn, J.P., Ramagopalan, S.V., et al. (2011). Association of UV radiation with multiple sclerosis prevalence and sex ratio in France. </w:t>
      </w:r>
      <w:r w:rsidRPr="008F62AA">
        <w:rPr>
          <w:i/>
          <w:szCs w:val="24"/>
          <w:lang w:val="en-US" w:eastAsia="el-GR"/>
        </w:rPr>
        <w:t>Neurology., 76</w:t>
      </w:r>
      <w:r w:rsidRPr="008F62AA">
        <w:rPr>
          <w:szCs w:val="24"/>
          <w:lang w:val="en-US" w:eastAsia="el-GR"/>
        </w:rPr>
        <w:t>(5), 425-31.</w:t>
      </w:r>
    </w:p>
    <w:p w:rsidR="008F62AA" w:rsidRPr="002767E3" w:rsidRDefault="008F62AA" w:rsidP="00D102B8">
      <w:pPr>
        <w:rPr>
          <w:bCs/>
          <w:szCs w:val="24"/>
        </w:rPr>
      </w:pPr>
      <w:r w:rsidRPr="008F62AA">
        <w:rPr>
          <w:bCs/>
          <w:szCs w:val="24"/>
          <w:lang w:val="en-US"/>
        </w:rPr>
        <w:t xml:space="preserve">Papadopoulos, M.C., Bennett, J.I. &amp; Verkman, A.S. (2014). Treatment of neuromyelitis optica: state-of-the-art and emerging therapies, </w:t>
      </w:r>
      <w:r w:rsidRPr="002767E3">
        <w:rPr>
          <w:bCs/>
          <w:i/>
          <w:szCs w:val="24"/>
          <w:lang w:val="en-US"/>
        </w:rPr>
        <w:t>Nat. Rev</w:t>
      </w:r>
      <w:r w:rsidRPr="002767E3">
        <w:rPr>
          <w:bCs/>
          <w:i/>
          <w:szCs w:val="24"/>
        </w:rPr>
        <w:t xml:space="preserve">. </w:t>
      </w:r>
      <w:r w:rsidRPr="002767E3">
        <w:rPr>
          <w:bCs/>
          <w:i/>
          <w:szCs w:val="24"/>
          <w:lang w:val="en-US"/>
        </w:rPr>
        <w:t>Neurol</w:t>
      </w:r>
      <w:r w:rsidRPr="002767E3">
        <w:rPr>
          <w:bCs/>
          <w:szCs w:val="24"/>
        </w:rPr>
        <w:t xml:space="preserve">., </w:t>
      </w:r>
      <w:r w:rsidR="002767E3">
        <w:rPr>
          <w:bCs/>
          <w:szCs w:val="24"/>
        </w:rPr>
        <w:t xml:space="preserve">Ανακτήθηκε 25 Ιουλίου 2020, από </w:t>
      </w:r>
      <w:r w:rsidRPr="008F62AA">
        <w:rPr>
          <w:bCs/>
          <w:szCs w:val="24"/>
          <w:lang w:val="en-US"/>
        </w:rPr>
        <w:t>http</w:t>
      </w:r>
      <w:r w:rsidRPr="002767E3">
        <w:rPr>
          <w:bCs/>
          <w:szCs w:val="24"/>
        </w:rPr>
        <w:t>://</w:t>
      </w:r>
      <w:r w:rsidRPr="008F62AA">
        <w:rPr>
          <w:bCs/>
          <w:szCs w:val="24"/>
          <w:lang w:val="en-US"/>
        </w:rPr>
        <w:t>dx</w:t>
      </w:r>
      <w:r w:rsidRPr="002767E3">
        <w:rPr>
          <w:bCs/>
          <w:szCs w:val="24"/>
        </w:rPr>
        <w:t>.</w:t>
      </w:r>
      <w:r w:rsidRPr="008F62AA">
        <w:rPr>
          <w:bCs/>
          <w:szCs w:val="24"/>
          <w:lang w:val="en-US"/>
        </w:rPr>
        <w:t>doi</w:t>
      </w:r>
      <w:r w:rsidRPr="002767E3">
        <w:rPr>
          <w:bCs/>
          <w:szCs w:val="24"/>
        </w:rPr>
        <w:t>.</w:t>
      </w:r>
      <w:r w:rsidRPr="008F62AA">
        <w:rPr>
          <w:bCs/>
          <w:szCs w:val="24"/>
          <w:lang w:val="en-US"/>
        </w:rPr>
        <w:t>org</w:t>
      </w:r>
      <w:r w:rsidRPr="002767E3">
        <w:rPr>
          <w:bCs/>
          <w:szCs w:val="24"/>
        </w:rPr>
        <w:t>/10.1038/</w:t>
      </w:r>
      <w:r w:rsidRPr="008F62AA">
        <w:rPr>
          <w:bCs/>
          <w:szCs w:val="24"/>
          <w:lang w:val="en-US"/>
        </w:rPr>
        <w:t>nrneurol</w:t>
      </w:r>
      <w:r w:rsidRPr="002767E3">
        <w:rPr>
          <w:bCs/>
          <w:szCs w:val="24"/>
        </w:rPr>
        <w:t>.2014.141.</w:t>
      </w:r>
    </w:p>
    <w:p w:rsidR="008F62AA" w:rsidRPr="008F62AA" w:rsidRDefault="008F62AA" w:rsidP="00D102B8">
      <w:pPr>
        <w:rPr>
          <w:szCs w:val="24"/>
          <w:lang w:val="en-US"/>
        </w:rPr>
      </w:pPr>
      <w:r w:rsidRPr="008F62AA">
        <w:rPr>
          <w:szCs w:val="24"/>
          <w:lang w:val="en-US"/>
        </w:rPr>
        <w:t xml:space="preserve">Pellkofer, H.L., Krumbholz, M., Berthele, A., Hemmer, B., Gerdes, L.A., Havla, J. et al (2011). Long-term follow-up of patients with neuromyelitis optica after repeated therapy with rituximab. </w:t>
      </w:r>
      <w:r w:rsidRPr="008F62AA">
        <w:rPr>
          <w:i/>
          <w:szCs w:val="24"/>
          <w:lang w:val="en-US"/>
        </w:rPr>
        <w:t>Neurology 76</w:t>
      </w:r>
      <w:r w:rsidRPr="008F62AA">
        <w:rPr>
          <w:szCs w:val="24"/>
          <w:lang w:val="en-US"/>
        </w:rPr>
        <w:t>(15), 1310–1315.</w:t>
      </w:r>
    </w:p>
    <w:p w:rsidR="008F62AA" w:rsidRPr="008F62AA" w:rsidRDefault="008F62AA" w:rsidP="00D102B8">
      <w:pPr>
        <w:rPr>
          <w:bCs/>
          <w:szCs w:val="24"/>
          <w:lang w:val="en-US"/>
        </w:rPr>
      </w:pPr>
      <w:r w:rsidRPr="008F62AA">
        <w:rPr>
          <w:bCs/>
          <w:szCs w:val="24"/>
          <w:lang w:val="en-US"/>
        </w:rPr>
        <w:t>Peters, G. (1958). Neuromyelitis optica. Lubarsche O, Henke F, Rossle R.(Eds). Handbuch der speziellen pathologischen Anatomie und Histologie, Bd. XIII. IIA: Erkrankugen des zentralen Nerven Systems. Berlin: Springer, 630-644.</w:t>
      </w:r>
    </w:p>
    <w:p w:rsidR="008F62AA" w:rsidRPr="008F62AA" w:rsidRDefault="008F62AA" w:rsidP="00D102B8">
      <w:pPr>
        <w:rPr>
          <w:bCs/>
          <w:szCs w:val="24"/>
          <w:lang w:val="en-US"/>
        </w:rPr>
      </w:pPr>
      <w:r w:rsidRPr="008F62AA">
        <w:rPr>
          <w:bCs/>
          <w:szCs w:val="24"/>
          <w:lang w:val="en-US"/>
        </w:rPr>
        <w:t>Pittock, S.J., Lennon, V.A., Krecke, K., et al. 2006. Brain abnormalities in neuro</w:t>
      </w:r>
      <w:r w:rsidRPr="008F62AA">
        <w:rPr>
          <w:bCs/>
          <w:szCs w:val="24"/>
          <w:lang w:val="en-US"/>
        </w:rPr>
        <w:softHyphen/>
        <w:t xml:space="preserve">myelitis optica. </w:t>
      </w:r>
      <w:r w:rsidRPr="008F62AA">
        <w:rPr>
          <w:bCs/>
          <w:i/>
          <w:szCs w:val="24"/>
          <w:lang w:val="en-US"/>
        </w:rPr>
        <w:t>Arch Neurol. 63</w:t>
      </w:r>
      <w:r w:rsidRPr="008F62AA">
        <w:rPr>
          <w:bCs/>
          <w:szCs w:val="24"/>
          <w:lang w:val="en-US"/>
        </w:rPr>
        <w:t>, 390-396.</w:t>
      </w:r>
    </w:p>
    <w:p w:rsidR="008F62AA" w:rsidRPr="008F62AA" w:rsidRDefault="008F62AA" w:rsidP="00D102B8">
      <w:pPr>
        <w:rPr>
          <w:szCs w:val="24"/>
          <w:lang w:val="en-US" w:eastAsia="el-GR"/>
        </w:rPr>
      </w:pPr>
      <w:r w:rsidRPr="008F62AA">
        <w:rPr>
          <w:rStyle w:val="element-citation"/>
          <w:szCs w:val="24"/>
          <w:lang w:val="en-US"/>
        </w:rPr>
        <w:t xml:space="preserve">Platten, M., Lanz, T., Bendszus, M. &amp; Diem, R. (2013). Clinically isolated syndrome. </w:t>
      </w:r>
      <w:r w:rsidRPr="008F62AA">
        <w:rPr>
          <w:rStyle w:val="ref-journal"/>
          <w:i/>
          <w:szCs w:val="24"/>
          <w:lang w:val="en-US"/>
        </w:rPr>
        <w:t xml:space="preserve">Der Nervenarzt., </w:t>
      </w:r>
      <w:r w:rsidRPr="008F62AA">
        <w:rPr>
          <w:rStyle w:val="ref-vol"/>
          <w:i/>
          <w:szCs w:val="24"/>
          <w:lang w:val="en-US"/>
        </w:rPr>
        <w:t>84</w:t>
      </w:r>
      <w:r w:rsidRPr="008F62AA">
        <w:rPr>
          <w:rStyle w:val="element-citation"/>
          <w:i/>
          <w:szCs w:val="24"/>
          <w:lang w:val="en-US"/>
        </w:rPr>
        <w:t>,</w:t>
      </w:r>
      <w:r w:rsidRPr="008F62AA">
        <w:rPr>
          <w:rStyle w:val="element-citation"/>
          <w:szCs w:val="24"/>
          <w:lang w:val="en-US"/>
        </w:rPr>
        <w:t xml:space="preserve"> 1247–1259.</w:t>
      </w:r>
    </w:p>
    <w:p w:rsidR="008F62AA" w:rsidRPr="008F62AA" w:rsidRDefault="008F62AA" w:rsidP="00D102B8">
      <w:pPr>
        <w:rPr>
          <w:szCs w:val="24"/>
          <w:lang w:val="en-US" w:eastAsia="el-GR"/>
        </w:rPr>
      </w:pPr>
      <w:r w:rsidRPr="008F62AA">
        <w:rPr>
          <w:szCs w:val="24"/>
          <w:lang w:val="en-US" w:eastAsia="el-GR"/>
        </w:rPr>
        <w:t xml:space="preserve">Poser, C. M. (1985). Myelinoclastic diffuse sclerosis. </w:t>
      </w:r>
      <w:r w:rsidRPr="008F62AA">
        <w:rPr>
          <w:szCs w:val="24"/>
          <w:lang w:eastAsia="el-GR"/>
        </w:rPr>
        <w:t>Στο</w:t>
      </w:r>
      <w:r w:rsidRPr="008F62AA">
        <w:rPr>
          <w:szCs w:val="24"/>
          <w:lang w:val="en-US" w:eastAsia="el-GR"/>
        </w:rPr>
        <w:t xml:space="preserve">: Vinken, P.J., Bruyn, G.W., Klawans, H.L. (eds) </w:t>
      </w:r>
      <w:r w:rsidRPr="008F62AA">
        <w:rPr>
          <w:i/>
          <w:szCs w:val="24"/>
          <w:lang w:val="en-US" w:eastAsia="el-GR"/>
        </w:rPr>
        <w:t>Handbook of Clinical Neurology</w:t>
      </w:r>
      <w:r w:rsidRPr="008F62AA">
        <w:rPr>
          <w:szCs w:val="24"/>
          <w:lang w:val="en-US" w:eastAsia="el-GR"/>
        </w:rPr>
        <w:t>, North-Holland, Amsterdam, 419–428.</w:t>
      </w:r>
    </w:p>
    <w:p w:rsidR="008F62AA" w:rsidRPr="008F62AA" w:rsidRDefault="008F62AA" w:rsidP="00D102B8">
      <w:pPr>
        <w:rPr>
          <w:szCs w:val="24"/>
          <w:lang w:val="en-US" w:eastAsia="el-GR"/>
        </w:rPr>
      </w:pPr>
      <w:r w:rsidRPr="008F62AA">
        <w:rPr>
          <w:szCs w:val="24"/>
          <w:lang w:val="en-US" w:eastAsia="el-GR"/>
        </w:rPr>
        <w:lastRenderedPageBreak/>
        <w:t xml:space="preserve">Poser, C. M., Goutiéres, F., Carpentier, M.A. &amp; Aicardi, J. (1986) Shilder’s myelinoclastic diffuse sclerosis. </w:t>
      </w:r>
      <w:r w:rsidRPr="008F62AA">
        <w:rPr>
          <w:i/>
          <w:szCs w:val="24"/>
          <w:lang w:val="en-US" w:eastAsia="el-GR"/>
        </w:rPr>
        <w:t xml:space="preserve">Pediatrics 77, </w:t>
      </w:r>
      <w:r w:rsidRPr="008F62AA">
        <w:rPr>
          <w:szCs w:val="24"/>
          <w:lang w:val="en-US" w:eastAsia="el-GR"/>
        </w:rPr>
        <w:t>107–112.</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Ramanathan, R.S., Malhotra, K., Scott, T. (2014), Treatment of neuromyelitis optica/neuromyelitis optica spectrum disorders with methotrexate. </w:t>
      </w:r>
      <w:r w:rsidRPr="008F62AA">
        <w:rPr>
          <w:i/>
          <w:lang w:val="en-US"/>
        </w:rPr>
        <w:t>BMC Neurol 15</w:t>
      </w:r>
      <w:r w:rsidRPr="008F62AA">
        <w:rPr>
          <w:lang w:val="en-US"/>
        </w:rPr>
        <w:t>(14), 51.</w:t>
      </w:r>
    </w:p>
    <w:p w:rsidR="008F62AA" w:rsidRPr="008F62AA" w:rsidRDefault="008F62AA" w:rsidP="00D102B8">
      <w:pPr>
        <w:rPr>
          <w:szCs w:val="24"/>
          <w:lang w:val="en-US"/>
        </w:rPr>
      </w:pPr>
      <w:r w:rsidRPr="008F62AA">
        <w:rPr>
          <w:szCs w:val="24"/>
          <w:lang w:val="en-US"/>
        </w:rPr>
        <w:t xml:space="preserve">Rao SM, Leo GJ, Haughton VM, St Aubin-Faubert P, Bernardin L. (1989). Correlation of magnetic resonance imaging with neuropsychological testing in multiple sclerosis. </w:t>
      </w:r>
      <w:r w:rsidRPr="008F62AA">
        <w:rPr>
          <w:i/>
          <w:szCs w:val="24"/>
          <w:lang w:val="en-US"/>
        </w:rPr>
        <w:t xml:space="preserve">Neurology, 39, </w:t>
      </w:r>
      <w:r w:rsidRPr="008F62AA">
        <w:rPr>
          <w:szCs w:val="24"/>
          <w:lang w:val="en-US"/>
        </w:rPr>
        <w:t>161–166.</w:t>
      </w:r>
    </w:p>
    <w:p w:rsidR="008F62AA" w:rsidRPr="008F62AA" w:rsidRDefault="008F62AA" w:rsidP="00D102B8">
      <w:pPr>
        <w:rPr>
          <w:szCs w:val="24"/>
          <w:lang w:val="en-US"/>
        </w:rPr>
      </w:pPr>
      <w:r w:rsidRPr="008F62AA">
        <w:rPr>
          <w:rStyle w:val="mixed-citation"/>
          <w:szCs w:val="24"/>
          <w:lang w:val="en-US"/>
        </w:rPr>
        <w:t xml:space="preserve">Rizzo, M.A., Hadjimichael, O.C., Preiningerova, J., Vollmer, T.L. (2004). </w:t>
      </w:r>
      <w:r w:rsidRPr="008F62AA">
        <w:rPr>
          <w:rStyle w:val="ref-title"/>
          <w:szCs w:val="24"/>
          <w:lang w:val="en-US"/>
        </w:rPr>
        <w:t>Prevalence and treatment of spasticity reported by multiple sclerosis patients</w:t>
      </w:r>
      <w:r w:rsidRPr="008F62AA">
        <w:rPr>
          <w:rStyle w:val="mixed-citation"/>
          <w:szCs w:val="24"/>
          <w:lang w:val="en-US"/>
        </w:rPr>
        <w:t xml:space="preserve">. </w:t>
      </w:r>
      <w:r w:rsidRPr="008F62AA">
        <w:rPr>
          <w:rStyle w:val="ref-journal"/>
          <w:i/>
          <w:szCs w:val="24"/>
          <w:lang w:val="en-US"/>
        </w:rPr>
        <w:t xml:space="preserve">Mult Scler Houndmills Basingstoke Engl., </w:t>
      </w:r>
      <w:r w:rsidRPr="008F62AA">
        <w:rPr>
          <w:rStyle w:val="ref-vol"/>
          <w:i/>
          <w:szCs w:val="24"/>
          <w:lang w:val="en-US"/>
        </w:rPr>
        <w:t xml:space="preserve">10, </w:t>
      </w:r>
      <w:r w:rsidRPr="008F62AA">
        <w:rPr>
          <w:rStyle w:val="mixed-citation"/>
          <w:szCs w:val="24"/>
          <w:lang w:val="en-US"/>
        </w:rPr>
        <w:t>589–95.</w:t>
      </w:r>
    </w:p>
    <w:p w:rsidR="008F62AA" w:rsidRPr="008F62AA" w:rsidRDefault="008F62AA" w:rsidP="00D102B8">
      <w:pPr>
        <w:rPr>
          <w:szCs w:val="24"/>
          <w:lang w:val="en-US" w:eastAsia="el-GR"/>
        </w:rPr>
      </w:pPr>
      <w:r w:rsidRPr="008F62AA">
        <w:rPr>
          <w:rStyle w:val="mixed-citation"/>
          <w:szCs w:val="24"/>
          <w:lang w:val="en-US"/>
        </w:rPr>
        <w:t xml:space="preserve">Rodriguez, M.., Siva, A., Cross, S.A., O'Brien, P.C., Kurland, L.T. (1995). </w:t>
      </w:r>
      <w:r w:rsidRPr="008F62AA">
        <w:rPr>
          <w:rStyle w:val="ref-title"/>
          <w:szCs w:val="24"/>
          <w:lang w:val="en-US"/>
        </w:rPr>
        <w:t>Optic neuritis: a population-based study in Olmsted County, Minnesota</w:t>
      </w:r>
      <w:r w:rsidRPr="008F62AA">
        <w:rPr>
          <w:rStyle w:val="mixed-citation"/>
          <w:szCs w:val="24"/>
          <w:lang w:val="en-US"/>
        </w:rPr>
        <w:t xml:space="preserve">. </w:t>
      </w:r>
      <w:r w:rsidRPr="008F62AA">
        <w:rPr>
          <w:rStyle w:val="ref-journal"/>
          <w:i/>
          <w:szCs w:val="24"/>
          <w:lang w:val="en-US"/>
        </w:rPr>
        <w:t>Neurology,</w:t>
      </w:r>
      <w:r w:rsidRPr="008F62AA">
        <w:rPr>
          <w:rStyle w:val="mixed-citation"/>
          <w:i/>
          <w:szCs w:val="24"/>
          <w:lang w:val="en-US"/>
        </w:rPr>
        <w:t xml:space="preserve"> </w:t>
      </w:r>
      <w:r w:rsidRPr="008F62AA">
        <w:rPr>
          <w:rStyle w:val="ref-vol"/>
          <w:i/>
          <w:szCs w:val="24"/>
          <w:lang w:val="en-US"/>
        </w:rPr>
        <w:t>45</w:t>
      </w:r>
      <w:r w:rsidRPr="008F62AA">
        <w:rPr>
          <w:rStyle w:val="mixed-citation"/>
          <w:szCs w:val="24"/>
          <w:lang w:val="en-US"/>
        </w:rPr>
        <w:t>, 244–250</w:t>
      </w:r>
      <w:r w:rsidRPr="008F62AA">
        <w:rPr>
          <w:szCs w:val="24"/>
          <w:lang w:val="en-US" w:eastAsia="el-GR"/>
        </w:rPr>
        <w:t xml:space="preserve"> </w:t>
      </w:r>
    </w:p>
    <w:p w:rsidR="008F62AA" w:rsidRPr="008F62AA" w:rsidRDefault="008F62AA" w:rsidP="00D102B8">
      <w:pPr>
        <w:rPr>
          <w:szCs w:val="24"/>
          <w:lang w:val="en-US" w:eastAsia="el-GR"/>
        </w:rPr>
      </w:pPr>
      <w:r w:rsidRPr="008F62AA">
        <w:rPr>
          <w:szCs w:val="24"/>
          <w:lang w:val="en-US" w:eastAsia="el-GR"/>
        </w:rPr>
        <w:t xml:space="preserve">Ropper, A.H, Samuels, M.A. (2009). </w:t>
      </w:r>
      <w:r w:rsidRPr="008F62AA">
        <w:rPr>
          <w:i/>
          <w:szCs w:val="24"/>
          <w:lang w:val="en-US" w:eastAsia="el-GR"/>
        </w:rPr>
        <w:t>Adams and Victor’s Principles of Neurology.</w:t>
      </w:r>
      <w:r w:rsidRPr="008F62AA">
        <w:rPr>
          <w:szCs w:val="24"/>
          <w:lang w:val="en-US" w:eastAsia="el-GR"/>
        </w:rPr>
        <w:t xml:space="preserve"> (9th ed.). USA: McGraw-Hill Companies, Inc, </w:t>
      </w:r>
      <w:r w:rsidRPr="008F62AA">
        <w:rPr>
          <w:i/>
          <w:szCs w:val="24"/>
          <w:lang w:val="en-US" w:eastAsia="el-GR"/>
        </w:rPr>
        <w:t>chapter 36</w:t>
      </w:r>
      <w:r w:rsidR="002767E3">
        <w:rPr>
          <w:szCs w:val="24"/>
          <w:lang w:val="en-US" w:eastAsia="el-GR"/>
        </w:rPr>
        <w:t>, 875</w:t>
      </w:r>
      <w:r w:rsidR="002767E3">
        <w:rPr>
          <w:szCs w:val="24"/>
          <w:lang w:eastAsia="el-GR"/>
        </w:rPr>
        <w:t>-</w:t>
      </w:r>
      <w:r w:rsidRPr="008F62AA">
        <w:rPr>
          <w:szCs w:val="24"/>
          <w:lang w:val="en-US" w:eastAsia="el-GR"/>
        </w:rPr>
        <w:t>885.</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Sahraian, M.A., Moinfar, Z., Khorramnia, S., Ebrahim, M.M. (2010). Relapsing neuromyelitis optica: demographic and clinical features in Iranian patients</w:t>
      </w:r>
      <w:r w:rsidRPr="008F62AA">
        <w:rPr>
          <w:i/>
          <w:lang w:val="en-US"/>
        </w:rPr>
        <w:t>. Eur J Neurol 17</w:t>
      </w:r>
      <w:r w:rsidRPr="008F62AA">
        <w:rPr>
          <w:lang w:val="en-US"/>
        </w:rPr>
        <w:t>(6), 794–799</w:t>
      </w:r>
    </w:p>
    <w:p w:rsidR="008F62AA" w:rsidRPr="008F62AA" w:rsidRDefault="008F62AA" w:rsidP="00D102B8">
      <w:pPr>
        <w:rPr>
          <w:bCs/>
          <w:szCs w:val="24"/>
          <w:lang w:val="en-US"/>
        </w:rPr>
      </w:pPr>
      <w:r w:rsidRPr="008F62AA">
        <w:rPr>
          <w:bCs/>
          <w:szCs w:val="24"/>
          <w:lang w:val="en-US"/>
        </w:rPr>
        <w:t>Scalfari, A., Knappertz, V., Cutter, G.</w:t>
      </w:r>
      <w:r w:rsidRPr="008F62AA">
        <w:rPr>
          <w:bCs/>
          <w:i/>
          <w:iCs/>
          <w:szCs w:val="24"/>
          <w:lang w:val="en-US"/>
        </w:rPr>
        <w:t>, et al</w:t>
      </w:r>
      <w:r w:rsidRPr="008F62AA">
        <w:rPr>
          <w:bCs/>
          <w:szCs w:val="24"/>
          <w:lang w:val="en-US"/>
        </w:rPr>
        <w:t xml:space="preserve">. (2013). Mortality in patients with multiple sclerosis. </w:t>
      </w:r>
      <w:r w:rsidRPr="008F62AA">
        <w:rPr>
          <w:bCs/>
          <w:i/>
          <w:iCs/>
          <w:szCs w:val="24"/>
          <w:lang w:val="en-US"/>
        </w:rPr>
        <w:t>Neurology,</w:t>
      </w:r>
      <w:r w:rsidRPr="008F62AA">
        <w:rPr>
          <w:bCs/>
          <w:i/>
          <w:szCs w:val="24"/>
          <w:lang w:val="en-US"/>
        </w:rPr>
        <w:t xml:space="preserve"> 81</w:t>
      </w:r>
      <w:r w:rsidRPr="008F62AA">
        <w:rPr>
          <w:bCs/>
          <w:szCs w:val="24"/>
          <w:lang w:val="en-US"/>
        </w:rPr>
        <w:t>, 184–192.</w:t>
      </w:r>
    </w:p>
    <w:p w:rsidR="008F62AA" w:rsidRPr="008F62AA" w:rsidRDefault="008F62AA" w:rsidP="00D102B8">
      <w:pPr>
        <w:rPr>
          <w:bCs/>
          <w:szCs w:val="24"/>
          <w:lang w:val="en-US"/>
        </w:rPr>
      </w:pPr>
      <w:r w:rsidRPr="008F62AA">
        <w:rPr>
          <w:bCs/>
          <w:szCs w:val="24"/>
          <w:lang w:val="en-US"/>
        </w:rPr>
        <w:t xml:space="preserve">Scott, G.I. (1952). Neuromyelitis optica. </w:t>
      </w:r>
      <w:r w:rsidRPr="008F62AA">
        <w:rPr>
          <w:bCs/>
          <w:i/>
          <w:szCs w:val="24"/>
          <w:lang w:val="en-US"/>
        </w:rPr>
        <w:t>Am J Ophthalmol, 35</w:t>
      </w:r>
      <w:r w:rsidRPr="008F62AA">
        <w:rPr>
          <w:bCs/>
          <w:szCs w:val="24"/>
          <w:lang w:val="en-US"/>
        </w:rPr>
        <w:t>, 755-764.</w:t>
      </w:r>
    </w:p>
    <w:p w:rsidR="008F62AA" w:rsidRPr="008F62AA" w:rsidRDefault="008F62AA" w:rsidP="00D102B8">
      <w:pPr>
        <w:rPr>
          <w:bCs/>
          <w:szCs w:val="24"/>
          <w:lang w:val="en-US"/>
        </w:rPr>
      </w:pPr>
      <w:r w:rsidRPr="008F62AA">
        <w:rPr>
          <w:bCs/>
          <w:szCs w:val="24"/>
          <w:lang w:val="en-US"/>
        </w:rPr>
        <w:t xml:space="preserve">Seguin, E.C. (1880). On the coincidence of optic neuritis and subacute transverse myelitis. </w:t>
      </w:r>
      <w:r w:rsidRPr="008F62AA">
        <w:rPr>
          <w:bCs/>
          <w:i/>
          <w:szCs w:val="24"/>
          <w:lang w:val="en-US"/>
        </w:rPr>
        <w:t>J Nerv Ment Dis, 7,</w:t>
      </w:r>
      <w:r w:rsidRPr="008F62AA">
        <w:rPr>
          <w:bCs/>
          <w:szCs w:val="24"/>
          <w:lang w:val="en-US"/>
        </w:rPr>
        <w:t xml:space="preserve"> 177-188. </w:t>
      </w:r>
    </w:p>
    <w:p w:rsidR="008F62AA" w:rsidRPr="008F62AA" w:rsidRDefault="008F62AA" w:rsidP="00D102B8">
      <w:pPr>
        <w:rPr>
          <w:bCs/>
          <w:iCs/>
          <w:szCs w:val="24"/>
          <w:lang w:val="en-US"/>
        </w:rPr>
      </w:pPr>
      <w:r w:rsidRPr="008F62AA">
        <w:rPr>
          <w:bCs/>
          <w:iCs/>
          <w:szCs w:val="24"/>
          <w:lang w:val="en-US"/>
        </w:rPr>
        <w:t xml:space="preserve">Sellner, J. Hemmer, B. Mühlau, M. (2010). The clinical spectrum and immunobiology of parainfectious neuromyelitis optica (Devic) syndromes, </w:t>
      </w:r>
      <w:r w:rsidRPr="008F62AA">
        <w:rPr>
          <w:bCs/>
          <w:i/>
          <w:iCs/>
          <w:szCs w:val="24"/>
          <w:lang w:val="en-US"/>
        </w:rPr>
        <w:t>J. Autoimmun. 34</w:t>
      </w:r>
      <w:r w:rsidRPr="008F62AA">
        <w:rPr>
          <w:bCs/>
          <w:iCs/>
          <w:szCs w:val="24"/>
          <w:lang w:val="en-US"/>
        </w:rPr>
        <w:t>, 371–379.</w:t>
      </w:r>
    </w:p>
    <w:p w:rsidR="008F62AA" w:rsidRPr="008F62AA" w:rsidRDefault="008F62AA" w:rsidP="00D102B8">
      <w:pPr>
        <w:rPr>
          <w:bCs/>
          <w:szCs w:val="24"/>
          <w:lang w:val="en-US"/>
        </w:rPr>
      </w:pPr>
      <w:r w:rsidRPr="008F62AA">
        <w:rPr>
          <w:bCs/>
          <w:szCs w:val="24"/>
          <w:lang w:val="en-US"/>
        </w:rPr>
        <w:t>Shibasaki, H., McDonald, I., Kuroiwa, Y. (1981). Racial modification of clinical picture of multiple sclerosis: comparison between Japanese and Brit</w:t>
      </w:r>
      <w:r w:rsidRPr="008F62AA">
        <w:rPr>
          <w:bCs/>
          <w:szCs w:val="24"/>
          <w:lang w:val="en-US"/>
        </w:rPr>
        <w:softHyphen/>
        <w:t xml:space="preserve">ish patients. </w:t>
      </w:r>
      <w:r w:rsidRPr="008F62AA">
        <w:rPr>
          <w:bCs/>
          <w:i/>
          <w:szCs w:val="24"/>
          <w:lang w:val="en-US"/>
        </w:rPr>
        <w:t>J Neurol Sci., 49</w:t>
      </w:r>
      <w:r w:rsidRPr="008F62AA">
        <w:rPr>
          <w:bCs/>
          <w:szCs w:val="24"/>
          <w:lang w:val="en-US"/>
        </w:rPr>
        <w:t>, 253-271.</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Shosha, E., Pittock, S.J., Flanagan, E., Weinshenker, BG. (2017). Neuromyelitis optica spectrum disorders and pregnancy: therapeutic considerations. </w:t>
      </w:r>
      <w:r w:rsidRPr="008F62AA">
        <w:rPr>
          <w:i/>
          <w:lang w:val="en-US"/>
        </w:rPr>
        <w:t>Nat Rev Neurol</w:t>
      </w:r>
      <w:r w:rsidRPr="008F62AA">
        <w:rPr>
          <w:lang w:val="en-US"/>
        </w:rPr>
        <w:t xml:space="preserve"> </w:t>
      </w:r>
      <w:r w:rsidRPr="008F62AA">
        <w:rPr>
          <w:i/>
          <w:lang w:val="en-US"/>
        </w:rPr>
        <w:t>16</w:t>
      </w:r>
      <w:r w:rsidRPr="008F62AA">
        <w:rPr>
          <w:lang w:val="en-US"/>
        </w:rPr>
        <w:t>(3), 154–170</w:t>
      </w:r>
    </w:p>
    <w:p w:rsidR="008F62AA" w:rsidRPr="008F62AA" w:rsidRDefault="008F62AA" w:rsidP="00D102B8">
      <w:pPr>
        <w:rPr>
          <w:rStyle w:val="mixed-citation"/>
          <w:szCs w:val="24"/>
          <w:lang w:val="en-US"/>
        </w:rPr>
      </w:pPr>
      <w:r w:rsidRPr="008F62AA">
        <w:rPr>
          <w:rStyle w:val="mixed-citation"/>
          <w:szCs w:val="24"/>
          <w:lang w:val="en-US"/>
        </w:rPr>
        <w:lastRenderedPageBreak/>
        <w:t xml:space="preserve">Sosnoff, J.J., Gappmaier, E., Frame, A. &amp; Motl, R.W. (2011). </w:t>
      </w:r>
      <w:r w:rsidRPr="008F62AA">
        <w:rPr>
          <w:rStyle w:val="ref-title"/>
          <w:szCs w:val="24"/>
          <w:lang w:val="en-US"/>
        </w:rPr>
        <w:t>Influence of spasticity on mobility and balance in persons with multiple sclerosis</w:t>
      </w:r>
      <w:r w:rsidRPr="008F62AA">
        <w:rPr>
          <w:rStyle w:val="mixed-citation"/>
          <w:szCs w:val="24"/>
          <w:lang w:val="en-US"/>
        </w:rPr>
        <w:t xml:space="preserve">. </w:t>
      </w:r>
      <w:r w:rsidRPr="008F62AA">
        <w:rPr>
          <w:rStyle w:val="ref-journal"/>
          <w:i/>
          <w:szCs w:val="24"/>
          <w:lang w:val="en-US"/>
        </w:rPr>
        <w:t xml:space="preserve">J Neurol Phys Ther JNPT., </w:t>
      </w:r>
      <w:r w:rsidRPr="008F62AA">
        <w:rPr>
          <w:rStyle w:val="ref-vol"/>
          <w:i/>
          <w:szCs w:val="24"/>
          <w:lang w:val="en-US"/>
        </w:rPr>
        <w:t>35</w:t>
      </w:r>
      <w:r w:rsidRPr="008F62AA">
        <w:rPr>
          <w:rStyle w:val="mixed-citation"/>
          <w:szCs w:val="24"/>
          <w:lang w:val="en-US"/>
        </w:rPr>
        <w:t>, 129–32.</w:t>
      </w:r>
    </w:p>
    <w:p w:rsidR="008F62AA" w:rsidRPr="008F62AA" w:rsidRDefault="008F62AA" w:rsidP="00D102B8">
      <w:pPr>
        <w:rPr>
          <w:bCs/>
          <w:szCs w:val="24"/>
          <w:lang w:val="en-US"/>
        </w:rPr>
      </w:pPr>
      <w:r w:rsidRPr="008F62AA">
        <w:rPr>
          <w:bCs/>
          <w:szCs w:val="24"/>
          <w:lang w:val="en-US"/>
        </w:rPr>
        <w:t xml:space="preserve">Stansbury, F.C. (1949). Neuromyelitis optica (Devic’s disease): presentation of five cases with pathological study and review of the literature. </w:t>
      </w:r>
      <w:r w:rsidRPr="008F62AA">
        <w:rPr>
          <w:bCs/>
          <w:i/>
          <w:szCs w:val="24"/>
          <w:lang w:val="en-US"/>
        </w:rPr>
        <w:t>Arch Ohthalmol., 42</w:t>
      </w:r>
      <w:r w:rsidRPr="008F62AA">
        <w:rPr>
          <w:bCs/>
          <w:szCs w:val="24"/>
          <w:lang w:val="en-US"/>
        </w:rPr>
        <w:t>, 292-335.</w:t>
      </w:r>
    </w:p>
    <w:p w:rsidR="008F62AA" w:rsidRPr="008F62AA" w:rsidRDefault="008F62AA" w:rsidP="00D102B8">
      <w:pPr>
        <w:rPr>
          <w:bCs/>
          <w:szCs w:val="24"/>
          <w:lang w:val="en-US"/>
        </w:rPr>
      </w:pPr>
      <w:r w:rsidRPr="008F62AA">
        <w:rPr>
          <w:bCs/>
          <w:szCs w:val="24"/>
          <w:lang w:val="en-US"/>
        </w:rPr>
        <w:t>Steffan, P. (1879). Beitrag zur Lehre des Zusammenhanges der Erkrankungen der Sehnerven mit denen des Rückenmarkes [</w:t>
      </w:r>
      <w:r w:rsidRPr="008F62AA">
        <w:rPr>
          <w:rStyle w:val="tlid-translation"/>
          <w:szCs w:val="24"/>
        </w:rPr>
        <w:t>Σύνδεση</w:t>
      </w:r>
      <w:r w:rsidRPr="008F62AA">
        <w:rPr>
          <w:rStyle w:val="tlid-translation"/>
          <w:szCs w:val="24"/>
          <w:lang w:val="en-US"/>
        </w:rPr>
        <w:t xml:space="preserve"> </w:t>
      </w:r>
      <w:r w:rsidRPr="008F62AA">
        <w:rPr>
          <w:rStyle w:val="tlid-translation"/>
          <w:szCs w:val="24"/>
        </w:rPr>
        <w:t>ασθενειών</w:t>
      </w:r>
      <w:r w:rsidRPr="008F62AA">
        <w:rPr>
          <w:rStyle w:val="tlid-translation"/>
          <w:szCs w:val="24"/>
          <w:lang w:val="en-US"/>
        </w:rPr>
        <w:t xml:space="preserve"> </w:t>
      </w:r>
      <w:r w:rsidRPr="008F62AA">
        <w:rPr>
          <w:rStyle w:val="tlid-translation"/>
          <w:szCs w:val="24"/>
        </w:rPr>
        <w:t>των</w:t>
      </w:r>
      <w:r w:rsidRPr="008F62AA">
        <w:rPr>
          <w:rStyle w:val="tlid-translation"/>
          <w:szCs w:val="24"/>
          <w:lang w:val="en-US"/>
        </w:rPr>
        <w:t xml:space="preserve"> </w:t>
      </w:r>
      <w:r w:rsidRPr="008F62AA">
        <w:rPr>
          <w:rStyle w:val="tlid-translation"/>
          <w:szCs w:val="24"/>
        </w:rPr>
        <w:t>οπτικών</w:t>
      </w:r>
      <w:r w:rsidRPr="008F62AA">
        <w:rPr>
          <w:rStyle w:val="tlid-translation"/>
          <w:szCs w:val="24"/>
          <w:lang w:val="en-US"/>
        </w:rPr>
        <w:t xml:space="preserve"> </w:t>
      </w:r>
      <w:r w:rsidRPr="008F62AA">
        <w:rPr>
          <w:rStyle w:val="tlid-translation"/>
          <w:szCs w:val="24"/>
        </w:rPr>
        <w:t>νεύρων</w:t>
      </w:r>
      <w:r w:rsidRPr="008F62AA">
        <w:rPr>
          <w:rStyle w:val="tlid-translation"/>
          <w:szCs w:val="24"/>
          <w:lang w:val="en-US"/>
        </w:rPr>
        <w:t xml:space="preserve"> </w:t>
      </w:r>
      <w:r w:rsidRPr="008F62AA">
        <w:rPr>
          <w:rStyle w:val="tlid-translation"/>
          <w:szCs w:val="24"/>
        </w:rPr>
        <w:t>με</w:t>
      </w:r>
      <w:r w:rsidRPr="008F62AA">
        <w:rPr>
          <w:rStyle w:val="tlid-translation"/>
          <w:szCs w:val="24"/>
          <w:lang w:val="en-US"/>
        </w:rPr>
        <w:t xml:space="preserve"> </w:t>
      </w:r>
      <w:r w:rsidRPr="008F62AA">
        <w:rPr>
          <w:rStyle w:val="tlid-translation"/>
          <w:szCs w:val="24"/>
        </w:rPr>
        <w:t>αυτές</w:t>
      </w:r>
      <w:r w:rsidRPr="008F62AA">
        <w:rPr>
          <w:rStyle w:val="tlid-translation"/>
          <w:szCs w:val="24"/>
          <w:lang w:val="en-US"/>
        </w:rPr>
        <w:t xml:space="preserve"> </w:t>
      </w:r>
      <w:r w:rsidRPr="008F62AA">
        <w:rPr>
          <w:rStyle w:val="tlid-translation"/>
          <w:szCs w:val="24"/>
        </w:rPr>
        <w:t>του</w:t>
      </w:r>
      <w:r w:rsidRPr="008F62AA">
        <w:rPr>
          <w:rStyle w:val="tlid-translation"/>
          <w:szCs w:val="24"/>
          <w:lang w:val="en-US"/>
        </w:rPr>
        <w:t xml:space="preserve"> </w:t>
      </w:r>
      <w:r w:rsidRPr="008F62AA">
        <w:rPr>
          <w:rStyle w:val="tlid-translation"/>
          <w:szCs w:val="24"/>
        </w:rPr>
        <w:t>νωτιαίου</w:t>
      </w:r>
      <w:r w:rsidRPr="008F62AA">
        <w:rPr>
          <w:rStyle w:val="tlid-translation"/>
          <w:szCs w:val="24"/>
          <w:lang w:val="en-US"/>
        </w:rPr>
        <w:t xml:space="preserve"> </w:t>
      </w:r>
      <w:r w:rsidRPr="008F62AA">
        <w:rPr>
          <w:rStyle w:val="tlid-translation"/>
          <w:szCs w:val="24"/>
        </w:rPr>
        <w:t>μυελού</w:t>
      </w:r>
      <w:r w:rsidRPr="008F62AA">
        <w:rPr>
          <w:rStyle w:val="tlid-translation"/>
          <w:szCs w:val="24"/>
          <w:lang w:val="en-US"/>
        </w:rPr>
        <w:t>]</w:t>
      </w:r>
      <w:r w:rsidRPr="008F62AA">
        <w:rPr>
          <w:bCs/>
          <w:szCs w:val="24"/>
          <w:lang w:val="en-US"/>
        </w:rPr>
        <w:t xml:space="preserve">. </w:t>
      </w:r>
      <w:r w:rsidRPr="008F62AA">
        <w:rPr>
          <w:bCs/>
          <w:i/>
          <w:szCs w:val="24"/>
          <w:lang w:val="en-US"/>
        </w:rPr>
        <w:t>Opthalmol Gesellschaft (Heidelberg), 12</w:t>
      </w:r>
      <w:r w:rsidRPr="008F62AA">
        <w:rPr>
          <w:bCs/>
          <w:szCs w:val="24"/>
          <w:lang w:val="en-US"/>
        </w:rPr>
        <w:t xml:space="preserve">, 90. </w:t>
      </w:r>
    </w:p>
    <w:p w:rsidR="008F62AA" w:rsidRPr="008F62AA" w:rsidRDefault="008F62AA" w:rsidP="00297ECD">
      <w:pPr>
        <w:autoSpaceDE w:val="0"/>
        <w:autoSpaceDN w:val="0"/>
        <w:adjustRightInd w:val="0"/>
        <w:rPr>
          <w:szCs w:val="24"/>
          <w:lang w:val="en-US" w:eastAsia="el-GR"/>
        </w:rPr>
      </w:pPr>
      <w:r w:rsidRPr="008F62AA">
        <w:rPr>
          <w:szCs w:val="24"/>
          <w:lang w:val="en-US" w:eastAsia="el-GR"/>
        </w:rPr>
        <w:t xml:space="preserve">Sterz, C., Ellenberger, D., Friede, T., et al. (2016). Employment associated factors in multiple sclerosis – Results of a cross-sectional study in Germany. </w:t>
      </w:r>
      <w:r w:rsidRPr="008F62AA">
        <w:rPr>
          <w:i/>
          <w:iCs/>
          <w:szCs w:val="24"/>
          <w:lang w:val="en-US" w:eastAsia="el-GR"/>
        </w:rPr>
        <w:t>Edorium. J. Disabil. Rehab.,</w:t>
      </w:r>
      <w:r w:rsidRPr="008F62AA">
        <w:rPr>
          <w:i/>
          <w:szCs w:val="24"/>
          <w:lang w:val="en-US" w:eastAsia="el-GR"/>
        </w:rPr>
        <w:t xml:space="preserve"> 2</w:t>
      </w:r>
      <w:r w:rsidRPr="008F62AA">
        <w:rPr>
          <w:szCs w:val="24"/>
          <w:lang w:val="en-US" w:eastAsia="el-GR"/>
        </w:rPr>
        <w:t>, 24–33.</w:t>
      </w:r>
    </w:p>
    <w:p w:rsidR="008F62AA" w:rsidRPr="008F62AA" w:rsidRDefault="008F62AA" w:rsidP="00D102B8">
      <w:pPr>
        <w:rPr>
          <w:szCs w:val="24"/>
          <w:lang w:val="en-US" w:eastAsia="el-GR"/>
        </w:rPr>
      </w:pPr>
      <w:r w:rsidRPr="008F62AA">
        <w:rPr>
          <w:szCs w:val="24"/>
          <w:lang w:val="en-US" w:eastAsia="el-GR"/>
        </w:rPr>
        <w:t xml:space="preserve">Sumowski, J., Benedict, R., Enzinger, Chr., Filippi, M., Geurts, J., Hamalainen, P. et al., (2018). Cognition in multiple sclerosis State of the field and priorities for the future. </w:t>
      </w:r>
      <w:r w:rsidRPr="008F62AA">
        <w:rPr>
          <w:i/>
          <w:szCs w:val="24"/>
          <w:lang w:val="en-US" w:eastAsia="el-GR"/>
        </w:rPr>
        <w:t>Neurology, 90</w:t>
      </w:r>
      <w:r w:rsidRPr="008F62AA">
        <w:rPr>
          <w:szCs w:val="24"/>
          <w:lang w:val="en-US" w:eastAsia="el-GR"/>
        </w:rPr>
        <w:t xml:space="preserve">, 278-288. </w:t>
      </w:r>
    </w:p>
    <w:p w:rsidR="008F62AA" w:rsidRPr="008F62AA" w:rsidRDefault="008F62AA" w:rsidP="00D102B8">
      <w:pPr>
        <w:rPr>
          <w:szCs w:val="24"/>
          <w:lang w:val="en-US" w:eastAsia="el-GR"/>
        </w:rPr>
      </w:pPr>
      <w:r w:rsidRPr="008F62AA">
        <w:rPr>
          <w:szCs w:val="24"/>
          <w:lang w:val="en-US" w:eastAsia="el-GR"/>
        </w:rPr>
        <w:t xml:space="preserve">Sutton, M.A. &amp; Schuman, E.M. (2006) Dendritic Protein Synthesis, Synaptic Plasticity, and Memory. </w:t>
      </w:r>
      <w:r w:rsidRPr="008F62AA">
        <w:rPr>
          <w:i/>
          <w:szCs w:val="24"/>
          <w:lang w:val="en-US" w:eastAsia="el-GR"/>
        </w:rPr>
        <w:t>Cell, 127</w:t>
      </w:r>
      <w:r w:rsidRPr="008F62AA">
        <w:rPr>
          <w:szCs w:val="24"/>
          <w:lang w:val="en-US" w:eastAsia="el-GR"/>
        </w:rPr>
        <w:t>, 49–58.</w:t>
      </w:r>
    </w:p>
    <w:p w:rsidR="008F62AA" w:rsidRPr="002767E3" w:rsidRDefault="008F62AA" w:rsidP="00D102B8">
      <w:pPr>
        <w:rPr>
          <w:szCs w:val="24"/>
          <w:lang w:val="en-US" w:eastAsia="el-GR"/>
        </w:rPr>
      </w:pPr>
      <w:r w:rsidRPr="008F62AA">
        <w:rPr>
          <w:szCs w:val="24"/>
          <w:lang w:val="en-US" w:eastAsia="el-GR"/>
        </w:rPr>
        <w:t xml:space="preserve">Tafti, D., Ehsan, M. &amp; Xixis, K.L. </w:t>
      </w:r>
      <w:r w:rsidRPr="002767E3">
        <w:rPr>
          <w:i/>
          <w:szCs w:val="24"/>
          <w:lang w:val="en-US" w:eastAsia="el-GR"/>
        </w:rPr>
        <w:t>Multiple Sclerosis</w:t>
      </w:r>
      <w:r w:rsidRPr="008F62AA">
        <w:rPr>
          <w:szCs w:val="24"/>
          <w:lang w:val="en-US" w:eastAsia="el-GR"/>
        </w:rPr>
        <w:t xml:space="preserve">. [Updated 2020 Jun 22]. </w:t>
      </w:r>
      <w:r w:rsidR="002767E3">
        <w:rPr>
          <w:szCs w:val="24"/>
          <w:lang w:eastAsia="el-GR"/>
        </w:rPr>
        <w:t>Στο</w:t>
      </w:r>
      <w:r w:rsidRPr="008F62AA">
        <w:rPr>
          <w:szCs w:val="24"/>
          <w:lang w:val="en-US" w:eastAsia="el-GR"/>
        </w:rPr>
        <w:t xml:space="preserve"> StatPearls [Internet]. Treasure Island (FL): StatPearls Publishing; 2020 Jan-. </w:t>
      </w:r>
      <w:r w:rsidR="002767E3">
        <w:rPr>
          <w:szCs w:val="24"/>
          <w:lang w:eastAsia="el-GR"/>
        </w:rPr>
        <w:t xml:space="preserve">Ανακτήθηκε 10 Ιουνίου 2020, από </w:t>
      </w:r>
      <w:hyperlink r:id="rId22" w:history="1">
        <w:r w:rsidRPr="008F62AA">
          <w:rPr>
            <w:rStyle w:val="-"/>
            <w:szCs w:val="24"/>
            <w:lang w:val="en-US" w:eastAsia="el-GR"/>
          </w:rPr>
          <w:t>https</w:t>
        </w:r>
        <w:r w:rsidRPr="002767E3">
          <w:rPr>
            <w:rStyle w:val="-"/>
            <w:szCs w:val="24"/>
            <w:lang w:eastAsia="el-GR"/>
          </w:rPr>
          <w:t>://</w:t>
        </w:r>
        <w:r w:rsidRPr="008F62AA">
          <w:rPr>
            <w:rStyle w:val="-"/>
            <w:szCs w:val="24"/>
            <w:lang w:val="en-US" w:eastAsia="el-GR"/>
          </w:rPr>
          <w:t>www</w:t>
        </w:r>
        <w:r w:rsidRPr="002767E3">
          <w:rPr>
            <w:rStyle w:val="-"/>
            <w:szCs w:val="24"/>
            <w:lang w:eastAsia="el-GR"/>
          </w:rPr>
          <w:t>.</w:t>
        </w:r>
        <w:r w:rsidRPr="008F62AA">
          <w:rPr>
            <w:rStyle w:val="-"/>
            <w:szCs w:val="24"/>
            <w:lang w:val="en-US" w:eastAsia="el-GR"/>
          </w:rPr>
          <w:t>ncbi</w:t>
        </w:r>
        <w:r w:rsidRPr="002767E3">
          <w:rPr>
            <w:rStyle w:val="-"/>
            <w:szCs w:val="24"/>
            <w:lang w:eastAsia="el-GR"/>
          </w:rPr>
          <w:t>.</w:t>
        </w:r>
        <w:r w:rsidRPr="008F62AA">
          <w:rPr>
            <w:rStyle w:val="-"/>
            <w:szCs w:val="24"/>
            <w:lang w:val="en-US" w:eastAsia="el-GR"/>
          </w:rPr>
          <w:t>nlm</w:t>
        </w:r>
        <w:r w:rsidRPr="002767E3">
          <w:rPr>
            <w:rStyle w:val="-"/>
            <w:szCs w:val="24"/>
            <w:lang w:eastAsia="el-GR"/>
          </w:rPr>
          <w:t>.</w:t>
        </w:r>
        <w:r w:rsidRPr="008F62AA">
          <w:rPr>
            <w:rStyle w:val="-"/>
            <w:szCs w:val="24"/>
            <w:lang w:val="en-US" w:eastAsia="el-GR"/>
          </w:rPr>
          <w:t>nih</w:t>
        </w:r>
        <w:r w:rsidRPr="002767E3">
          <w:rPr>
            <w:rStyle w:val="-"/>
            <w:szCs w:val="24"/>
            <w:lang w:eastAsia="el-GR"/>
          </w:rPr>
          <w:t>.</w:t>
        </w:r>
        <w:r w:rsidRPr="008F62AA">
          <w:rPr>
            <w:rStyle w:val="-"/>
            <w:szCs w:val="24"/>
            <w:lang w:val="en-US" w:eastAsia="el-GR"/>
          </w:rPr>
          <w:t>gov</w:t>
        </w:r>
        <w:r w:rsidRPr="002767E3">
          <w:rPr>
            <w:rStyle w:val="-"/>
            <w:szCs w:val="24"/>
            <w:lang w:eastAsia="el-GR"/>
          </w:rPr>
          <w:t>/</w:t>
        </w:r>
        <w:r w:rsidRPr="008F62AA">
          <w:rPr>
            <w:rStyle w:val="-"/>
            <w:szCs w:val="24"/>
            <w:lang w:val="en-US" w:eastAsia="el-GR"/>
          </w:rPr>
          <w:t>books</w:t>
        </w:r>
        <w:r w:rsidRPr="002767E3">
          <w:rPr>
            <w:rStyle w:val="-"/>
            <w:szCs w:val="24"/>
            <w:lang w:eastAsia="el-GR"/>
          </w:rPr>
          <w:t>/</w:t>
        </w:r>
        <w:r w:rsidRPr="008F62AA">
          <w:rPr>
            <w:rStyle w:val="-"/>
            <w:szCs w:val="24"/>
            <w:lang w:val="en-US" w:eastAsia="el-GR"/>
          </w:rPr>
          <w:t>NBK</w:t>
        </w:r>
        <w:r w:rsidRPr="002767E3">
          <w:rPr>
            <w:rStyle w:val="-"/>
            <w:szCs w:val="24"/>
            <w:lang w:eastAsia="el-GR"/>
          </w:rPr>
          <w:t>499849/</w:t>
        </w:r>
      </w:hyperlink>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Tahara, M., Oeda, T., Okada, K., Kiriyama, T., Ochi, K., Maruyama, H. et al (2020). Safety and efficacy of rituximab in neuromyelitis optica spectrum disorders (RIN-1 study): a multicentre, randomised, double-blind, placebo-controlled trial. </w:t>
      </w:r>
      <w:r w:rsidRPr="008F62AA">
        <w:rPr>
          <w:i/>
          <w:lang w:val="en-US"/>
        </w:rPr>
        <w:t>Lancet Neurol 19</w:t>
      </w:r>
      <w:r w:rsidRPr="008F62AA">
        <w:rPr>
          <w:lang w:val="en-US"/>
        </w:rPr>
        <w:t>(4), 298–306</w:t>
      </w:r>
    </w:p>
    <w:p w:rsidR="008F62AA" w:rsidRPr="008F62AA" w:rsidRDefault="008F62AA" w:rsidP="00D102B8">
      <w:pPr>
        <w:rPr>
          <w:szCs w:val="24"/>
          <w:lang w:val="en-US" w:eastAsia="el-GR"/>
        </w:rPr>
      </w:pPr>
      <w:r w:rsidRPr="008F62AA">
        <w:rPr>
          <w:szCs w:val="24"/>
          <w:lang w:val="en-US" w:eastAsia="el-GR"/>
        </w:rPr>
        <w:t xml:space="preserve">Taylor, Br., Hardcastle, Ch. &amp; Marsiske, M. (2019). Central Nervous System. </w:t>
      </w:r>
      <w:r w:rsidR="00ED0B88">
        <w:rPr>
          <w:szCs w:val="24"/>
          <w:lang w:eastAsia="el-GR"/>
        </w:rPr>
        <w:t>Ανακτήθηκε 7 Ιουνίου 2020, από</w:t>
      </w:r>
      <w:r w:rsidRPr="008F62AA">
        <w:rPr>
          <w:szCs w:val="24"/>
          <w:lang w:val="en-US" w:eastAsia="el-GR"/>
        </w:rPr>
        <w:t xml:space="preserve"> </w:t>
      </w:r>
      <w:hyperlink r:id="rId23" w:history="1">
        <w:r w:rsidRPr="008F62AA">
          <w:rPr>
            <w:rStyle w:val="-"/>
            <w:szCs w:val="24"/>
            <w:lang w:val="en-US" w:eastAsia="el-GR"/>
          </w:rPr>
          <w:t>https://www.researchgate.net/publication/336838788</w:t>
        </w:r>
      </w:hyperlink>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Tiede, I., Fritz, G., Strand, S., Poppe, D., Dvorsky, R., Strand, D. et al (2003). CD28-dependent Rac1 activation is the molecular target of azathioprine in primary human CD4+ T lymphocytes. </w:t>
      </w:r>
      <w:r w:rsidRPr="008F62AA">
        <w:rPr>
          <w:i/>
          <w:lang w:val="en-US"/>
        </w:rPr>
        <w:t>J Clin Investig 111</w:t>
      </w:r>
      <w:r w:rsidRPr="008F62AA">
        <w:rPr>
          <w:lang w:val="en-US"/>
        </w:rPr>
        <w:t>(8), 1133–1145</w:t>
      </w:r>
    </w:p>
    <w:p w:rsidR="008F62AA" w:rsidRPr="008F62AA" w:rsidRDefault="008F62AA" w:rsidP="00D102B8">
      <w:pPr>
        <w:rPr>
          <w:szCs w:val="24"/>
          <w:lang w:val="en-US"/>
        </w:rPr>
      </w:pPr>
      <w:r w:rsidRPr="008F62AA">
        <w:rPr>
          <w:szCs w:val="24"/>
          <w:lang w:val="en-US"/>
        </w:rPr>
        <w:t xml:space="preserve">Torad, H., Shalaby, N., Hussein, H.A. </w:t>
      </w:r>
      <w:r w:rsidRPr="008F62AA">
        <w:rPr>
          <w:i/>
          <w:iCs/>
          <w:szCs w:val="24"/>
          <w:lang w:val="en-US"/>
        </w:rPr>
        <w:t>et al.</w:t>
      </w:r>
      <w:r w:rsidRPr="008F62AA">
        <w:rPr>
          <w:szCs w:val="24"/>
          <w:lang w:val="en-US"/>
        </w:rPr>
        <w:t xml:space="preserve"> (2020). Bladder and urodynamic changes in multiple sclerosis. </w:t>
      </w:r>
      <w:r w:rsidRPr="008F62AA">
        <w:rPr>
          <w:i/>
          <w:iCs/>
          <w:szCs w:val="24"/>
          <w:lang w:val="en-US"/>
        </w:rPr>
        <w:t>Egypt J Neurol Psychiatry Neurosurg.,</w:t>
      </w:r>
      <w:r w:rsidRPr="008F62AA">
        <w:rPr>
          <w:szCs w:val="24"/>
          <w:lang w:val="en-US"/>
        </w:rPr>
        <w:t xml:space="preserve"> </w:t>
      </w:r>
      <w:r w:rsidRPr="008F62AA">
        <w:rPr>
          <w:bCs/>
          <w:i/>
          <w:szCs w:val="24"/>
          <w:lang w:val="en-US"/>
        </w:rPr>
        <w:t>56</w:t>
      </w:r>
      <w:r w:rsidRPr="008F62AA">
        <w:rPr>
          <w:b/>
          <w:bCs/>
          <w:szCs w:val="24"/>
          <w:lang w:val="en-US"/>
        </w:rPr>
        <w:t xml:space="preserve">, </w:t>
      </w:r>
      <w:r w:rsidRPr="008F62AA">
        <w:rPr>
          <w:szCs w:val="24"/>
          <w:lang w:val="en-US"/>
        </w:rPr>
        <w:t xml:space="preserve">47.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lastRenderedPageBreak/>
        <w:t xml:space="preserve">Uitdehaag, B., Kobelt, G., Berg, J., Capsa, D., &amp; Dalén, J. (2017). New insights into the burden and costs of multiple sclerosis in Europe: Results for the Netherlands. </w:t>
      </w:r>
      <w:r w:rsidRPr="008F62AA">
        <w:rPr>
          <w:i/>
          <w:lang w:val="en-US"/>
        </w:rPr>
        <w:t>Multiple Sclerosis Journal, 23</w:t>
      </w:r>
      <w:r w:rsidRPr="008F62AA">
        <w:rPr>
          <w:lang w:val="en-US"/>
        </w:rPr>
        <w:t xml:space="preserve">(2), 117–129. </w:t>
      </w:r>
    </w:p>
    <w:p w:rsidR="008F62AA" w:rsidRPr="008F62AA" w:rsidRDefault="008F62AA" w:rsidP="00D102B8">
      <w:pPr>
        <w:rPr>
          <w:szCs w:val="24"/>
          <w:lang w:val="en-US" w:eastAsia="el-GR"/>
        </w:rPr>
      </w:pPr>
      <w:r w:rsidRPr="008F62AA">
        <w:rPr>
          <w:szCs w:val="24"/>
          <w:lang w:val="en-US" w:eastAsia="el-GR"/>
        </w:rPr>
        <w:t xml:space="preserve">Uzawa, A., Masahiro, M. &amp; Kuwabara, S. (2014). Cytokines and chemokines in neuromyelitis optica: Pathogenetic and therapeutic implications. </w:t>
      </w:r>
      <w:r w:rsidRPr="00ED0B88">
        <w:rPr>
          <w:i/>
          <w:szCs w:val="24"/>
          <w:lang w:val="en-US" w:eastAsia="el-GR"/>
        </w:rPr>
        <w:t>Brain Pathol,</w:t>
      </w:r>
      <w:r w:rsidRPr="008F62AA">
        <w:rPr>
          <w:szCs w:val="24"/>
          <w:lang w:val="en-US" w:eastAsia="el-GR"/>
        </w:rPr>
        <w:t xml:space="preserve"> </w:t>
      </w:r>
      <w:r w:rsidRPr="008F62AA">
        <w:rPr>
          <w:i/>
          <w:szCs w:val="24"/>
          <w:lang w:val="en-US" w:eastAsia="el-GR"/>
        </w:rPr>
        <w:t>24</w:t>
      </w:r>
      <w:r w:rsidRPr="008F62AA">
        <w:rPr>
          <w:szCs w:val="24"/>
          <w:lang w:val="en-US" w:eastAsia="el-GR"/>
        </w:rPr>
        <w:t>, 67-73.</w:t>
      </w:r>
    </w:p>
    <w:p w:rsidR="008F62AA" w:rsidRPr="008F62AA" w:rsidRDefault="008F62AA" w:rsidP="00D102B8">
      <w:pPr>
        <w:autoSpaceDE w:val="0"/>
        <w:autoSpaceDN w:val="0"/>
        <w:adjustRightInd w:val="0"/>
        <w:rPr>
          <w:szCs w:val="24"/>
          <w:lang w:val="en-US"/>
        </w:rPr>
      </w:pPr>
      <w:r w:rsidRPr="008F62AA">
        <w:rPr>
          <w:szCs w:val="24"/>
          <w:lang w:val="en-US"/>
        </w:rPr>
        <w:t xml:space="preserve">Vozikis, A. &amp; Sotiropoulou, E. (2013). Economic Burden of Multiple Sclerosis on patients: Research Findings from Greece. </w:t>
      </w:r>
      <w:r w:rsidRPr="008F62AA">
        <w:rPr>
          <w:i/>
          <w:iCs/>
          <w:szCs w:val="24"/>
          <w:lang w:val="en-US"/>
        </w:rPr>
        <w:t>Journal of Finance and Economics</w:t>
      </w:r>
      <w:r w:rsidRPr="008F62AA">
        <w:rPr>
          <w:szCs w:val="24"/>
          <w:lang w:val="en-US"/>
        </w:rPr>
        <w:t xml:space="preserve">, </w:t>
      </w:r>
      <w:r w:rsidRPr="008F62AA">
        <w:rPr>
          <w:i/>
          <w:iCs/>
          <w:szCs w:val="24"/>
          <w:lang w:val="en-US"/>
        </w:rPr>
        <w:t>1</w:t>
      </w:r>
      <w:r w:rsidRPr="008F62AA">
        <w:rPr>
          <w:szCs w:val="24"/>
          <w:lang w:val="en-US"/>
        </w:rPr>
        <w:t>(3), 36-40.</w:t>
      </w:r>
    </w:p>
    <w:p w:rsidR="008F62AA" w:rsidRPr="008F62AA" w:rsidRDefault="008F62AA" w:rsidP="00D102B8">
      <w:pPr>
        <w:rPr>
          <w:szCs w:val="24"/>
          <w:lang w:val="en-US" w:eastAsia="el-GR"/>
        </w:rPr>
      </w:pPr>
      <w:r w:rsidRPr="008F62AA">
        <w:rPr>
          <w:szCs w:val="24"/>
          <w:lang w:val="en-US" w:eastAsia="el-GR"/>
        </w:rPr>
        <w:t xml:space="preserve">Wallner-Blazek, M., Rovira, A., Fillipp, M., et al. (2013). Atypical idiopathic inflammatory demyelinating lesions: prognostic implications and relation to multiple sclerosis. </w:t>
      </w:r>
      <w:r w:rsidRPr="008F62AA">
        <w:rPr>
          <w:i/>
          <w:szCs w:val="24"/>
          <w:lang w:val="en-US" w:eastAsia="el-GR"/>
        </w:rPr>
        <w:t>J Neurol, 260</w:t>
      </w:r>
      <w:r w:rsidRPr="008F62AA">
        <w:rPr>
          <w:szCs w:val="24"/>
          <w:lang w:val="en-US" w:eastAsia="el-GR"/>
        </w:rPr>
        <w:t>, 2016–2022.</w:t>
      </w:r>
    </w:p>
    <w:p w:rsidR="008F62AA" w:rsidRPr="008F62AA" w:rsidRDefault="008F62AA" w:rsidP="00D102B8">
      <w:pPr>
        <w:rPr>
          <w:bCs/>
          <w:szCs w:val="24"/>
          <w:lang w:val="en-US"/>
        </w:rPr>
      </w:pPr>
      <w:r w:rsidRPr="008F62AA">
        <w:rPr>
          <w:bCs/>
          <w:szCs w:val="24"/>
          <w:lang w:val="en-US"/>
        </w:rPr>
        <w:t xml:space="preserve">Walsh, F.B. (1935). Neuromyelitis optica: anatomical-pathological study of one case: clinical studies of three additional cases. </w:t>
      </w:r>
      <w:r w:rsidRPr="008F62AA">
        <w:rPr>
          <w:bCs/>
          <w:i/>
          <w:szCs w:val="24"/>
          <w:lang w:val="en-US"/>
        </w:rPr>
        <w:t xml:space="preserve">Bull Johns Hopkins Hosp., 56, </w:t>
      </w:r>
      <w:r w:rsidRPr="008F62AA">
        <w:rPr>
          <w:bCs/>
          <w:szCs w:val="24"/>
          <w:lang w:val="en-US"/>
        </w:rPr>
        <w:t xml:space="preserve">183-210.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Watanabe, S., Misu, T., Miyazawa, I., Nakashima, I., Shiga, Y., Fujihara, K. et al. (2007). Low-dose corticosteroids reduce relapses in neuromyelitis optica: a retrospective analysis. </w:t>
      </w:r>
      <w:r w:rsidRPr="008F62AA">
        <w:rPr>
          <w:i/>
          <w:lang w:val="en-US"/>
        </w:rPr>
        <w:t>Mult Scler 13</w:t>
      </w:r>
      <w:r w:rsidRPr="008F62AA">
        <w:rPr>
          <w:lang w:val="en-US"/>
        </w:rPr>
        <w:t>(8), 968–974</w:t>
      </w:r>
    </w:p>
    <w:p w:rsidR="008F62AA" w:rsidRPr="008F62AA" w:rsidRDefault="008F62AA" w:rsidP="00D102B8">
      <w:pPr>
        <w:rPr>
          <w:bCs/>
          <w:szCs w:val="24"/>
          <w:lang w:val="en-US"/>
        </w:rPr>
      </w:pPr>
      <w:r w:rsidRPr="008F62AA">
        <w:rPr>
          <w:bCs/>
          <w:szCs w:val="24"/>
          <w:lang w:val="en-US"/>
        </w:rPr>
        <w:t xml:space="preserve">Weinshenker, B.G. (2014). Clinical spectrum of neuromyelitis optica 2013, </w:t>
      </w:r>
      <w:r w:rsidRPr="008F62AA">
        <w:rPr>
          <w:bCs/>
          <w:i/>
          <w:szCs w:val="24"/>
          <w:lang w:val="en-US"/>
        </w:rPr>
        <w:t>Neurol. Clin. Neurosci. 2</w:t>
      </w:r>
      <w:r w:rsidRPr="008F62AA">
        <w:rPr>
          <w:bCs/>
          <w:szCs w:val="24"/>
          <w:lang w:val="en-US"/>
        </w:rPr>
        <w:t>, 23–27.</w:t>
      </w:r>
    </w:p>
    <w:p w:rsidR="008F62AA" w:rsidRPr="00C43C31" w:rsidRDefault="008F62AA" w:rsidP="00D102B8">
      <w:pPr>
        <w:rPr>
          <w:szCs w:val="24"/>
          <w:lang w:eastAsia="el-GR"/>
        </w:rPr>
      </w:pPr>
      <w:r w:rsidRPr="008F62AA">
        <w:rPr>
          <w:szCs w:val="24"/>
          <w:lang w:val="en-US" w:eastAsia="el-GR"/>
        </w:rPr>
        <w:t>Weinshenker, B.G. (2014). Clinical spectrum of neuromyelitis optica 2013,</w:t>
      </w:r>
      <w:r w:rsidRPr="008F62AA">
        <w:rPr>
          <w:i/>
          <w:szCs w:val="24"/>
          <w:lang w:val="en-US" w:eastAsia="el-GR"/>
        </w:rPr>
        <w:t xml:space="preserve"> Neurol. Clin. Neurosci. 2,</w:t>
      </w:r>
      <w:r w:rsidRPr="008F62AA">
        <w:rPr>
          <w:szCs w:val="24"/>
          <w:lang w:val="en-US" w:eastAsia="el-GR"/>
        </w:rPr>
        <w:t xml:space="preserve"> 23–27</w:t>
      </w:r>
      <w:r w:rsidR="00C43C31">
        <w:rPr>
          <w:szCs w:val="24"/>
          <w:lang w:eastAsia="el-GR"/>
        </w:rPr>
        <w:t>.</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Weinstock-Guttman, B., Ramanathan, M., Lincoff, N., Napoli, S.Q., Sharma, J., Feichter, J. et al (2006). Study of mitoxantrone for the treatment of recurrent neuromyelitis optica (Devic disease). </w:t>
      </w:r>
      <w:r w:rsidRPr="008F62AA">
        <w:rPr>
          <w:i/>
          <w:lang w:val="en-US"/>
        </w:rPr>
        <w:t>Arch Neurol., 63</w:t>
      </w:r>
      <w:r w:rsidRPr="008F62AA">
        <w:rPr>
          <w:lang w:val="en-US"/>
        </w:rPr>
        <w:t>(7), 957–963.</w:t>
      </w:r>
    </w:p>
    <w:p w:rsidR="008F62AA" w:rsidRPr="008F62AA" w:rsidRDefault="008F62AA" w:rsidP="00D102B8">
      <w:pPr>
        <w:rPr>
          <w:szCs w:val="24"/>
          <w:lang w:val="en-US"/>
        </w:rPr>
      </w:pPr>
      <w:r w:rsidRPr="008F62AA">
        <w:rPr>
          <w:szCs w:val="24"/>
          <w:lang w:val="en-US"/>
        </w:rPr>
        <w:t xml:space="preserve">Wens, I., Dalgas, U., Stenager, E.,  Eijnde, B.O. (2013). Risk factors related to cardiovascular diseases and the metabolic syndrome in multiple sclerosis - a systematic review, </w:t>
      </w:r>
      <w:r w:rsidRPr="008F62AA">
        <w:rPr>
          <w:i/>
          <w:szCs w:val="24"/>
          <w:lang w:val="en-US"/>
        </w:rPr>
        <w:t>Mult. Scler. (Houndmills, Basingstoke, Engl.), 19</w:t>
      </w:r>
      <w:r w:rsidRPr="008F62AA">
        <w:rPr>
          <w:szCs w:val="24"/>
          <w:lang w:val="en-US"/>
        </w:rPr>
        <w:t>(12), 1556–1564.</w:t>
      </w:r>
    </w:p>
    <w:p w:rsidR="008F62AA" w:rsidRPr="008F62AA" w:rsidRDefault="008F62AA" w:rsidP="00D102B8">
      <w:pPr>
        <w:autoSpaceDE w:val="0"/>
        <w:autoSpaceDN w:val="0"/>
        <w:adjustRightInd w:val="0"/>
        <w:rPr>
          <w:szCs w:val="24"/>
          <w:lang w:val="en-US" w:eastAsia="el-GR"/>
        </w:rPr>
      </w:pPr>
      <w:r w:rsidRPr="008F62AA">
        <w:rPr>
          <w:szCs w:val="24"/>
          <w:lang w:val="en-US" w:eastAsia="el-GR"/>
        </w:rPr>
        <w:t>Wingerchuk, D., Pittock, S., Lucchinetti, C</w:t>
      </w:r>
      <w:r w:rsidRPr="008F62AA">
        <w:rPr>
          <w:i/>
          <w:iCs/>
          <w:szCs w:val="24"/>
          <w:lang w:val="en-US" w:eastAsia="el-GR"/>
        </w:rPr>
        <w:t>, et al</w:t>
      </w:r>
      <w:r w:rsidRPr="008F62AA">
        <w:rPr>
          <w:szCs w:val="24"/>
          <w:lang w:val="en-US" w:eastAsia="el-GR"/>
        </w:rPr>
        <w:t xml:space="preserve">. (2007). A secondary progressive clinical course is uncommon in neuromyelitis optica. </w:t>
      </w:r>
      <w:r w:rsidRPr="008F62AA">
        <w:rPr>
          <w:i/>
          <w:iCs/>
          <w:szCs w:val="24"/>
          <w:lang w:val="en-US" w:eastAsia="el-GR"/>
        </w:rPr>
        <w:t xml:space="preserve">Neurology, </w:t>
      </w:r>
      <w:r w:rsidRPr="008F62AA">
        <w:rPr>
          <w:i/>
          <w:szCs w:val="24"/>
          <w:lang w:val="en-US" w:eastAsia="el-GR"/>
        </w:rPr>
        <w:t>68</w:t>
      </w:r>
      <w:r w:rsidRPr="008F62AA">
        <w:rPr>
          <w:szCs w:val="24"/>
          <w:lang w:val="en-US" w:eastAsia="el-GR"/>
        </w:rPr>
        <w:t>, 603–605.</w:t>
      </w:r>
    </w:p>
    <w:p w:rsidR="008F62AA" w:rsidRPr="008F62AA" w:rsidRDefault="008F62AA" w:rsidP="00D102B8">
      <w:pPr>
        <w:autoSpaceDE w:val="0"/>
        <w:autoSpaceDN w:val="0"/>
        <w:adjustRightInd w:val="0"/>
        <w:rPr>
          <w:szCs w:val="24"/>
          <w:lang w:val="en-US" w:eastAsia="el-GR"/>
        </w:rPr>
      </w:pPr>
      <w:r w:rsidRPr="008F62AA">
        <w:rPr>
          <w:szCs w:val="24"/>
          <w:lang w:val="en-US" w:eastAsia="el-GR"/>
        </w:rPr>
        <w:t xml:space="preserve">Wingerchuk, D.M. (2004). Neuromyelitis optica: current concepts. </w:t>
      </w:r>
      <w:r w:rsidRPr="008F62AA">
        <w:rPr>
          <w:i/>
          <w:iCs/>
          <w:szCs w:val="24"/>
          <w:lang w:val="en-US" w:eastAsia="el-GR"/>
        </w:rPr>
        <w:t>Front Biosci.,</w:t>
      </w:r>
      <w:r w:rsidRPr="008F62AA">
        <w:rPr>
          <w:i/>
          <w:szCs w:val="24"/>
          <w:lang w:val="en-US" w:eastAsia="el-GR"/>
        </w:rPr>
        <w:t xml:space="preserve"> 9</w:t>
      </w:r>
      <w:r w:rsidRPr="008F62AA">
        <w:rPr>
          <w:szCs w:val="24"/>
          <w:lang w:val="en-US" w:eastAsia="el-GR"/>
        </w:rPr>
        <w:t>, 834–840.</w:t>
      </w:r>
    </w:p>
    <w:p w:rsidR="008F62AA" w:rsidRPr="008F62AA" w:rsidRDefault="008F62AA" w:rsidP="00D102B8">
      <w:pPr>
        <w:rPr>
          <w:szCs w:val="24"/>
          <w:lang w:val="en-US"/>
        </w:rPr>
      </w:pPr>
      <w:r w:rsidRPr="008F62AA">
        <w:rPr>
          <w:szCs w:val="24"/>
          <w:lang w:val="en-US"/>
        </w:rPr>
        <w:t xml:space="preserve">Wingerchuk, D.M. Lennon, V.A. Pittock, S.J. Lucchinetti, C.F. Weinshenker, B.G. (2006). Revised diagnostic criteria for neuromyelitis optica, </w:t>
      </w:r>
      <w:r w:rsidRPr="008F62AA">
        <w:rPr>
          <w:i/>
          <w:szCs w:val="24"/>
          <w:lang w:val="en-US"/>
        </w:rPr>
        <w:t>Neurology, 66</w:t>
      </w:r>
      <w:r w:rsidRPr="008F62AA">
        <w:rPr>
          <w:szCs w:val="24"/>
          <w:lang w:val="en-US"/>
        </w:rPr>
        <w:t>, 1485–1489.</w:t>
      </w:r>
    </w:p>
    <w:p w:rsidR="008F62AA" w:rsidRPr="008F62AA" w:rsidRDefault="008F62AA" w:rsidP="00D102B8">
      <w:pPr>
        <w:rPr>
          <w:bCs/>
          <w:szCs w:val="24"/>
          <w:lang w:val="en-US"/>
        </w:rPr>
      </w:pPr>
      <w:r w:rsidRPr="008F62AA">
        <w:rPr>
          <w:bCs/>
          <w:szCs w:val="24"/>
          <w:lang w:val="en-US"/>
        </w:rPr>
        <w:lastRenderedPageBreak/>
        <w:t xml:space="preserve">Wingerchuk, D.M., Lennon, V.A., Pittocj, S.J., Lucchinetti, C.F., Weinshenker, B.G. Revised diagnostic criteria for neuromyelitis optica. </w:t>
      </w:r>
      <w:r w:rsidRPr="008F62AA">
        <w:rPr>
          <w:bCs/>
          <w:i/>
          <w:szCs w:val="24"/>
          <w:lang w:val="en-US"/>
        </w:rPr>
        <w:t xml:space="preserve">Neurology 66, </w:t>
      </w:r>
      <w:r w:rsidRPr="008F62AA">
        <w:rPr>
          <w:bCs/>
          <w:szCs w:val="24"/>
          <w:lang w:val="en-US"/>
        </w:rPr>
        <w:t>1485-1489.</w:t>
      </w:r>
    </w:p>
    <w:p w:rsidR="008F62AA" w:rsidRPr="008F62AA" w:rsidRDefault="008F62AA" w:rsidP="00D102B8">
      <w:pPr>
        <w:rPr>
          <w:bCs/>
          <w:szCs w:val="24"/>
          <w:lang w:val="en-US"/>
        </w:rPr>
      </w:pPr>
      <w:r w:rsidRPr="008F62AA">
        <w:rPr>
          <w:bCs/>
          <w:szCs w:val="24"/>
          <w:lang w:val="en-US"/>
        </w:rPr>
        <w:t xml:space="preserve">Wingerchuk, D.M., Lennon, V.A., Pittock, S.J., Lucchinetti, C.F. &amp; Weinshenker, B.G. (2006). Revised diagnostic criteria for neuromyelitis optica, </w:t>
      </w:r>
      <w:r w:rsidRPr="008F62AA">
        <w:rPr>
          <w:bCs/>
          <w:i/>
          <w:szCs w:val="24"/>
          <w:lang w:val="en-US"/>
        </w:rPr>
        <w:t>Neurology 66,</w:t>
      </w:r>
      <w:r w:rsidRPr="008F62AA">
        <w:rPr>
          <w:bCs/>
          <w:szCs w:val="24"/>
          <w:lang w:val="en-US"/>
        </w:rPr>
        <w:t xml:space="preserve"> 1485–1489.</w:t>
      </w:r>
    </w:p>
    <w:p w:rsidR="008F62AA" w:rsidRPr="008F62AA" w:rsidRDefault="008F62AA" w:rsidP="00D102B8">
      <w:pPr>
        <w:shd w:val="clear" w:color="auto" w:fill="FFFFFF"/>
        <w:rPr>
          <w:szCs w:val="24"/>
          <w:lang w:val="en-US"/>
        </w:rPr>
      </w:pPr>
      <w:r w:rsidRPr="008F62AA">
        <w:rPr>
          <w:szCs w:val="24"/>
          <w:lang w:val="en-US"/>
        </w:rPr>
        <w:t>Wu, Y., Zhong, L. &amp; Geng, J. (2019). Neuromyelitis optica spectrum disorder: Pathogenesis, treatment, and experimental models. </w:t>
      </w:r>
      <w:r w:rsidRPr="008F62AA">
        <w:rPr>
          <w:rStyle w:val="a7"/>
          <w:szCs w:val="24"/>
          <w:lang w:val="en-US"/>
        </w:rPr>
        <w:t>Mult Scler Relat Disord</w:t>
      </w:r>
      <w:r w:rsidRPr="008F62AA">
        <w:rPr>
          <w:szCs w:val="24"/>
          <w:lang w:val="en-US"/>
        </w:rPr>
        <w:t xml:space="preserve">., </w:t>
      </w:r>
      <w:r w:rsidRPr="008F62AA">
        <w:rPr>
          <w:i/>
          <w:szCs w:val="24"/>
          <w:lang w:val="en-US"/>
        </w:rPr>
        <w:t>27</w:t>
      </w:r>
      <w:r w:rsidRPr="008F62AA">
        <w:rPr>
          <w:szCs w:val="24"/>
          <w:lang w:val="en-US"/>
        </w:rPr>
        <w:t xml:space="preserve">, 412-418. </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Xu,Y., Wang, Q., Ren, H.T., Qiao, L., Zhang, Y., Fei, Y.Y. et al (2016). Comparison of efficacy and tolerability of azathioprine, mycophenolate mofetil, and cyclophosphamide among patients with neuromyelitis optica spectrum disorder: a prospective cohort study</w:t>
      </w:r>
      <w:r w:rsidRPr="008F62AA">
        <w:rPr>
          <w:i/>
          <w:lang w:val="en-US"/>
        </w:rPr>
        <w:t>. J Neurol. Sci., 370</w:t>
      </w:r>
      <w:r w:rsidRPr="008F62AA">
        <w:rPr>
          <w:lang w:val="en-US"/>
        </w:rPr>
        <w:t>, 224–228.</w:t>
      </w:r>
    </w:p>
    <w:p w:rsidR="008F62AA" w:rsidRPr="008F62AA" w:rsidRDefault="008F62AA" w:rsidP="00D102B8">
      <w:pPr>
        <w:pStyle w:val="c-article-referencestext"/>
        <w:spacing w:before="0" w:beforeAutospacing="0" w:after="120" w:afterAutospacing="0" w:line="360" w:lineRule="auto"/>
        <w:ind w:firstLine="720"/>
        <w:jc w:val="both"/>
        <w:rPr>
          <w:lang w:val="en-US"/>
        </w:rPr>
      </w:pPr>
      <w:r w:rsidRPr="008F62AA">
        <w:rPr>
          <w:lang w:val="en-US"/>
        </w:rPr>
        <w:t xml:space="preserve">Yaguchi, H., Sakushima, K., Takahashi, I., Nishimura, H., Yashima-Yamada, M., Nakamura, M. et al (2013). Efficacy of intravenous cyclophosphamide therapy for neuromyelitis optica spectrum disorder. </w:t>
      </w:r>
      <w:r w:rsidRPr="008F62AA">
        <w:rPr>
          <w:i/>
          <w:lang w:val="en-US"/>
        </w:rPr>
        <w:t>Intern Med., 52</w:t>
      </w:r>
      <w:r w:rsidRPr="008F62AA">
        <w:rPr>
          <w:lang w:val="en-US"/>
        </w:rPr>
        <w:t>(9), 969–972.</w:t>
      </w:r>
    </w:p>
    <w:p w:rsidR="008F62AA" w:rsidRPr="008F62AA" w:rsidRDefault="008F62AA" w:rsidP="00D102B8">
      <w:pPr>
        <w:autoSpaceDE w:val="0"/>
        <w:autoSpaceDN w:val="0"/>
        <w:adjustRightInd w:val="0"/>
        <w:rPr>
          <w:iCs/>
          <w:szCs w:val="24"/>
          <w:lang w:val="en-US" w:eastAsia="el-GR"/>
        </w:rPr>
      </w:pPr>
      <w:r w:rsidRPr="008F62AA">
        <w:rPr>
          <w:iCs/>
          <w:szCs w:val="24"/>
          <w:lang w:val="en-US" w:eastAsia="el-GR"/>
        </w:rPr>
        <w:t>Yokote, H. &amp; Mizusawa, H. (2016). Multiple sclerosis and neuromyelitis optica spectrum disorders: some similarities in two distinct diseases.</w:t>
      </w:r>
      <w:r w:rsidRPr="008F62AA">
        <w:rPr>
          <w:i/>
          <w:iCs/>
          <w:szCs w:val="24"/>
          <w:lang w:val="en-US" w:eastAsia="el-GR"/>
        </w:rPr>
        <w:t xml:space="preserve"> Neural Regen Res, 11</w:t>
      </w:r>
      <w:r w:rsidRPr="008F62AA">
        <w:rPr>
          <w:iCs/>
          <w:szCs w:val="24"/>
          <w:lang w:val="en-US" w:eastAsia="el-GR"/>
        </w:rPr>
        <w:t>(3), 410-411.</w:t>
      </w:r>
    </w:p>
    <w:p w:rsidR="008F62AA" w:rsidRPr="008F62AA" w:rsidRDefault="008F62AA" w:rsidP="00D102B8">
      <w:pPr>
        <w:autoSpaceDE w:val="0"/>
        <w:autoSpaceDN w:val="0"/>
        <w:adjustRightInd w:val="0"/>
        <w:rPr>
          <w:iCs/>
          <w:szCs w:val="24"/>
          <w:lang w:val="en-US" w:eastAsia="el-GR"/>
        </w:rPr>
      </w:pPr>
      <w:r w:rsidRPr="008F62AA">
        <w:rPr>
          <w:iCs/>
          <w:szCs w:val="24"/>
          <w:lang w:val="en-US" w:eastAsia="el-GR"/>
        </w:rPr>
        <w:t xml:space="preserve">Yokote, H., Nose, Y., Ishibashi, S., Tanaka, K., Takahashi, T., Fujihara, K., Yokota, T.&amp; Mizusawa, H. (2015). Spinal cord ring enhancement in patients with neuromyelitis optica. </w:t>
      </w:r>
      <w:r w:rsidRPr="008F62AA">
        <w:rPr>
          <w:i/>
          <w:iCs/>
          <w:szCs w:val="24"/>
          <w:lang w:val="en-US" w:eastAsia="el-GR"/>
        </w:rPr>
        <w:t>Acta Neurol Scand. 132</w:t>
      </w:r>
      <w:r w:rsidRPr="008F62AA">
        <w:rPr>
          <w:iCs/>
          <w:szCs w:val="24"/>
          <w:lang w:val="en-US" w:eastAsia="el-GR"/>
        </w:rPr>
        <w:t>, 37-41.</w:t>
      </w:r>
    </w:p>
    <w:p w:rsidR="008F62AA" w:rsidRPr="008F62AA" w:rsidRDefault="008F62AA" w:rsidP="00D102B8">
      <w:pPr>
        <w:autoSpaceDE w:val="0"/>
        <w:autoSpaceDN w:val="0"/>
        <w:adjustRightInd w:val="0"/>
        <w:rPr>
          <w:szCs w:val="24"/>
          <w:lang w:val="en-US" w:eastAsia="el-GR"/>
        </w:rPr>
      </w:pPr>
      <w:r w:rsidRPr="008F62AA">
        <w:rPr>
          <w:szCs w:val="24"/>
          <w:lang w:val="en-US" w:eastAsia="el-GR"/>
        </w:rPr>
        <w:t>Yonezu, T., Ito, S., Mori, M.</w:t>
      </w:r>
      <w:r w:rsidRPr="008F62AA">
        <w:rPr>
          <w:i/>
          <w:iCs/>
          <w:szCs w:val="24"/>
          <w:lang w:val="en-US" w:eastAsia="el-GR"/>
        </w:rPr>
        <w:t>, et al</w:t>
      </w:r>
      <w:r w:rsidRPr="008F62AA">
        <w:rPr>
          <w:szCs w:val="24"/>
          <w:lang w:val="en-US" w:eastAsia="el-GR"/>
        </w:rPr>
        <w:t xml:space="preserve">. (2014). “Bright spotty lesions” on spinal magnetic resonance imaging differentiate neuromyelitis optica from multiple sclerosis. </w:t>
      </w:r>
      <w:r w:rsidRPr="008F62AA">
        <w:rPr>
          <w:i/>
          <w:iCs/>
          <w:szCs w:val="24"/>
          <w:lang w:val="en-US" w:eastAsia="el-GR"/>
        </w:rPr>
        <w:t>Mult Scler</w:t>
      </w:r>
      <w:r w:rsidRPr="008F62AA">
        <w:rPr>
          <w:szCs w:val="24"/>
          <w:lang w:val="en-US" w:eastAsia="el-GR"/>
        </w:rPr>
        <w:t xml:space="preserve">, </w:t>
      </w:r>
      <w:r w:rsidRPr="008F62AA">
        <w:rPr>
          <w:i/>
          <w:szCs w:val="24"/>
          <w:lang w:val="en-US" w:eastAsia="el-GR"/>
        </w:rPr>
        <w:t>20</w:t>
      </w:r>
      <w:r w:rsidRPr="008F62AA">
        <w:rPr>
          <w:szCs w:val="24"/>
          <w:lang w:val="en-US" w:eastAsia="el-GR"/>
        </w:rPr>
        <w:t>, 331–337.</w:t>
      </w:r>
    </w:p>
    <w:sectPr w:rsidR="008F62AA" w:rsidRPr="008F62AA" w:rsidSect="00303663">
      <w:footerReference w:type="default" r:id="rId24"/>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9502A" w:rsidRDefault="0079502A" w:rsidP="00DC0B14">
      <w:pPr>
        <w:spacing w:after="0" w:line="240" w:lineRule="auto"/>
      </w:pPr>
      <w:r>
        <w:separator/>
      </w:r>
    </w:p>
  </w:endnote>
  <w:endnote w:type="continuationSeparator" w:id="0">
    <w:p w:rsidR="0079502A" w:rsidRDefault="0079502A" w:rsidP="00DC0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da">
    <w:altName w:val="Arial"/>
    <w:charset w:val="00"/>
    <w:family w:val="swiss"/>
    <w:notTrueType/>
    <w:pitch w:val="default"/>
    <w:sig w:usb0="00000003" w:usb1="00000000" w:usb2="00000000" w:usb3="00000000" w:csb0="00000001" w:csb1="00000000"/>
  </w:font>
  <w:font w:name="Arial-BoldMT">
    <w:altName w:val="MS Mincho"/>
    <w:charset w:val="80"/>
    <w:family w:val="auto"/>
    <w:notTrueType/>
    <w:pitch w:val="default"/>
    <w:sig w:usb0="00000000" w:usb1="08070000" w:usb2="00000010" w:usb3="00000000" w:csb0="00020001" w:csb1="00000000"/>
  </w:font>
  <w:font w:name="ArialMT">
    <w:altName w:val="MS Mincho"/>
    <w:charset w:val="80"/>
    <w:family w:val="auto"/>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2AA" w:rsidRDefault="008F62AA">
    <w:pPr>
      <w:pStyle w:val="a5"/>
      <w:jc w:val="right"/>
    </w:pPr>
    <w:r>
      <w:fldChar w:fldCharType="begin"/>
    </w:r>
    <w:r>
      <w:instrText xml:space="preserve"> PAGE   \* MERGEFORMAT </w:instrText>
    </w:r>
    <w:r>
      <w:fldChar w:fldCharType="separate"/>
    </w:r>
    <w:r w:rsidR="001D65A9">
      <w:rPr>
        <w:noProof/>
      </w:rPr>
      <w:t>5</w:t>
    </w:r>
    <w:r>
      <w:fldChar w:fldCharType="end"/>
    </w:r>
  </w:p>
  <w:p w:rsidR="008F62AA" w:rsidRDefault="008F62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9502A" w:rsidRDefault="0079502A" w:rsidP="00DC0B14">
      <w:pPr>
        <w:spacing w:after="0" w:line="240" w:lineRule="auto"/>
      </w:pPr>
      <w:r>
        <w:separator/>
      </w:r>
    </w:p>
  </w:footnote>
  <w:footnote w:type="continuationSeparator" w:id="0">
    <w:p w:rsidR="0079502A" w:rsidRDefault="0079502A" w:rsidP="00DC0B14">
      <w:pPr>
        <w:spacing w:after="0" w:line="240" w:lineRule="auto"/>
      </w:pPr>
      <w:r>
        <w:continuationSeparator/>
      </w:r>
    </w:p>
  </w:footnote>
  <w:footnote w:id="1">
    <w:p w:rsidR="008F62AA" w:rsidRPr="007B2CBE" w:rsidRDefault="008F62AA">
      <w:pPr>
        <w:pStyle w:val="aa"/>
        <w:rPr>
          <w:lang w:val="en-US"/>
        </w:rPr>
      </w:pPr>
      <w:r>
        <w:rPr>
          <w:rStyle w:val="ab"/>
        </w:rPr>
        <w:footnoteRef/>
      </w:r>
      <w:r w:rsidRPr="007B2CBE">
        <w:rPr>
          <w:lang w:val="en-US"/>
        </w:rPr>
        <w:t xml:space="preserve"> </w:t>
      </w:r>
      <w:r>
        <w:rPr>
          <w:lang w:val="en-US"/>
        </w:rPr>
        <w:t>MS, multiple sclerosis</w:t>
      </w:r>
    </w:p>
  </w:footnote>
  <w:footnote w:id="2">
    <w:p w:rsidR="008F62AA" w:rsidRPr="003222F3" w:rsidRDefault="008F62AA">
      <w:pPr>
        <w:pStyle w:val="aa"/>
        <w:rPr>
          <w:lang w:val="en-US"/>
        </w:rPr>
      </w:pPr>
      <w:r>
        <w:rPr>
          <w:rStyle w:val="ab"/>
        </w:rPr>
        <w:footnoteRef/>
      </w:r>
      <w:r w:rsidRPr="003222F3">
        <w:rPr>
          <w:lang w:val="en-US"/>
        </w:rPr>
        <w:t xml:space="preserve"> </w:t>
      </w:r>
      <w:r w:rsidRPr="00333479">
        <w:rPr>
          <w:rFonts w:eastAsia="Times New Roman"/>
          <w:szCs w:val="24"/>
          <w:lang w:val="en-US" w:eastAsia="el-GR"/>
        </w:rPr>
        <w:t>NMOSD, neuromyelitis optica spectrum disorder</w:t>
      </w:r>
    </w:p>
  </w:footnote>
  <w:footnote w:id="3">
    <w:p w:rsidR="008F62AA" w:rsidRPr="003222F3" w:rsidRDefault="008F62AA">
      <w:pPr>
        <w:pStyle w:val="aa"/>
        <w:rPr>
          <w:lang w:val="en-US"/>
        </w:rPr>
      </w:pPr>
      <w:r w:rsidRPr="003222F3">
        <w:rPr>
          <w:rStyle w:val="ab"/>
        </w:rPr>
        <w:footnoteRef/>
      </w:r>
      <w:r w:rsidRPr="003222F3">
        <w:rPr>
          <w:lang w:val="en-US"/>
        </w:rPr>
        <w:t xml:space="preserve"> </w:t>
      </w:r>
      <w:r w:rsidRPr="003222F3">
        <w:rPr>
          <w:rFonts w:eastAsia="Times New Roman"/>
          <w:szCs w:val="24"/>
          <w:lang w:val="en-US" w:eastAsia="el-GR"/>
        </w:rPr>
        <w:t>PRES, posterior reversible encephalopathy syndrome.</w:t>
      </w:r>
    </w:p>
  </w:footnote>
  <w:footnote w:id="4">
    <w:p w:rsidR="008F62AA" w:rsidRDefault="008F62AA">
      <w:pPr>
        <w:pStyle w:val="aa"/>
      </w:pPr>
      <w:r>
        <w:rPr>
          <w:rStyle w:val="ab"/>
        </w:rPr>
        <w:footnoteRef/>
      </w:r>
      <w:r>
        <w:t xml:space="preserve"> </w:t>
      </w:r>
      <w:r>
        <w:rPr>
          <w:rFonts w:eastAsia="Times New Roman"/>
          <w:szCs w:val="24"/>
          <w:lang w:val="en-US" w:eastAsia="el-GR"/>
        </w:rPr>
        <w:t>NMO</w:t>
      </w:r>
      <w:r w:rsidRPr="00333479">
        <w:rPr>
          <w:rFonts w:eastAsia="Times New Roman"/>
          <w:szCs w:val="24"/>
          <w:lang w:val="en-US" w:eastAsia="el-GR"/>
        </w:rPr>
        <w:t>, neuromyelitis optica</w:t>
      </w:r>
    </w:p>
  </w:footnote>
  <w:footnote w:id="5">
    <w:p w:rsidR="008F62AA" w:rsidRDefault="008F62AA">
      <w:pPr>
        <w:pStyle w:val="aa"/>
      </w:pPr>
      <w:r>
        <w:rPr>
          <w:rStyle w:val="ab"/>
        </w:rPr>
        <w:footnoteRef/>
      </w:r>
      <w:r>
        <w:t xml:space="preserve"> </w:t>
      </w:r>
      <w:r w:rsidRPr="00333479">
        <w:rPr>
          <w:rFonts w:eastAsia="Times New Roman"/>
          <w:szCs w:val="24"/>
          <w:lang w:val="en-US" w:eastAsia="el-GR"/>
        </w:rPr>
        <w:t>EDSS, expanded disability status scale</w:t>
      </w:r>
    </w:p>
  </w:footnote>
  <w:footnote w:id="6">
    <w:p w:rsidR="008F62AA" w:rsidRPr="001965AF" w:rsidRDefault="008F62AA">
      <w:pPr>
        <w:pStyle w:val="aa"/>
      </w:pPr>
      <w:r>
        <w:rPr>
          <w:rStyle w:val="ab"/>
        </w:rPr>
        <w:footnoteRef/>
      </w:r>
      <w:r>
        <w:t xml:space="preserve"> </w:t>
      </w:r>
      <w:r>
        <w:rPr>
          <w:lang w:val="en-US"/>
        </w:rPr>
        <w:t xml:space="preserve">SEK: </w:t>
      </w:r>
      <w:r>
        <w:t>Σουηδική κορώνα, νόμισμα Σουηδίας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0375C"/>
    <w:multiLevelType w:val="hybridMultilevel"/>
    <w:tmpl w:val="FB48B2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16B4E52"/>
    <w:multiLevelType w:val="hybridMultilevel"/>
    <w:tmpl w:val="DDD00AC4"/>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FE27419"/>
    <w:multiLevelType w:val="multilevel"/>
    <w:tmpl w:val="D6A4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2B25BB"/>
    <w:multiLevelType w:val="multilevel"/>
    <w:tmpl w:val="65888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E3400"/>
    <w:multiLevelType w:val="multilevel"/>
    <w:tmpl w:val="30B4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3FA"/>
    <w:rsid w:val="000001B4"/>
    <w:rsid w:val="000060D1"/>
    <w:rsid w:val="000070ED"/>
    <w:rsid w:val="00025A05"/>
    <w:rsid w:val="00032B39"/>
    <w:rsid w:val="00032E5F"/>
    <w:rsid w:val="00037ECE"/>
    <w:rsid w:val="00046F22"/>
    <w:rsid w:val="00055FF5"/>
    <w:rsid w:val="00067CF4"/>
    <w:rsid w:val="00073DFE"/>
    <w:rsid w:val="00074DD7"/>
    <w:rsid w:val="000948F2"/>
    <w:rsid w:val="000A524F"/>
    <w:rsid w:val="000C582F"/>
    <w:rsid w:val="000D17E8"/>
    <w:rsid w:val="000E17A4"/>
    <w:rsid w:val="000E28C5"/>
    <w:rsid w:val="000E5811"/>
    <w:rsid w:val="000F06AA"/>
    <w:rsid w:val="00112076"/>
    <w:rsid w:val="00115D6D"/>
    <w:rsid w:val="00141933"/>
    <w:rsid w:val="001460E0"/>
    <w:rsid w:val="00153641"/>
    <w:rsid w:val="00160F20"/>
    <w:rsid w:val="00160FD5"/>
    <w:rsid w:val="00175515"/>
    <w:rsid w:val="0018117E"/>
    <w:rsid w:val="001965AF"/>
    <w:rsid w:val="001B02F9"/>
    <w:rsid w:val="001B1038"/>
    <w:rsid w:val="001D65A9"/>
    <w:rsid w:val="001E612F"/>
    <w:rsid w:val="001F306E"/>
    <w:rsid w:val="00204FD5"/>
    <w:rsid w:val="00210A9B"/>
    <w:rsid w:val="00231771"/>
    <w:rsid w:val="002344E8"/>
    <w:rsid w:val="00240DB6"/>
    <w:rsid w:val="00241093"/>
    <w:rsid w:val="00242674"/>
    <w:rsid w:val="002522B4"/>
    <w:rsid w:val="00253066"/>
    <w:rsid w:val="00266E00"/>
    <w:rsid w:val="00272D17"/>
    <w:rsid w:val="002767E3"/>
    <w:rsid w:val="00280520"/>
    <w:rsid w:val="0028479A"/>
    <w:rsid w:val="002928BC"/>
    <w:rsid w:val="00297ECD"/>
    <w:rsid w:val="002A29FA"/>
    <w:rsid w:val="002A5C10"/>
    <w:rsid w:val="002B692B"/>
    <w:rsid w:val="002C5501"/>
    <w:rsid w:val="002C67FF"/>
    <w:rsid w:val="002D1ED7"/>
    <w:rsid w:val="002D20DE"/>
    <w:rsid w:val="002D4FC9"/>
    <w:rsid w:val="002E7528"/>
    <w:rsid w:val="002F55FC"/>
    <w:rsid w:val="00303663"/>
    <w:rsid w:val="003222F3"/>
    <w:rsid w:val="00345839"/>
    <w:rsid w:val="0036795E"/>
    <w:rsid w:val="0037569B"/>
    <w:rsid w:val="00377738"/>
    <w:rsid w:val="00383EBF"/>
    <w:rsid w:val="0038716D"/>
    <w:rsid w:val="003874B1"/>
    <w:rsid w:val="00396DC9"/>
    <w:rsid w:val="003A39EF"/>
    <w:rsid w:val="003A5017"/>
    <w:rsid w:val="003A61F0"/>
    <w:rsid w:val="003B0B02"/>
    <w:rsid w:val="003C2A79"/>
    <w:rsid w:val="003D04CC"/>
    <w:rsid w:val="003E0A78"/>
    <w:rsid w:val="003E0F5F"/>
    <w:rsid w:val="0041787E"/>
    <w:rsid w:val="00441608"/>
    <w:rsid w:val="00443504"/>
    <w:rsid w:val="00445993"/>
    <w:rsid w:val="0045538D"/>
    <w:rsid w:val="00455934"/>
    <w:rsid w:val="00471CA0"/>
    <w:rsid w:val="004841F1"/>
    <w:rsid w:val="00490472"/>
    <w:rsid w:val="004A2758"/>
    <w:rsid w:val="004C5B90"/>
    <w:rsid w:val="004F770C"/>
    <w:rsid w:val="005008A9"/>
    <w:rsid w:val="00500CB3"/>
    <w:rsid w:val="00500D75"/>
    <w:rsid w:val="005013FA"/>
    <w:rsid w:val="00516ACD"/>
    <w:rsid w:val="00517F07"/>
    <w:rsid w:val="00522BE8"/>
    <w:rsid w:val="00541B4F"/>
    <w:rsid w:val="005422BE"/>
    <w:rsid w:val="00556771"/>
    <w:rsid w:val="00556F7D"/>
    <w:rsid w:val="00584274"/>
    <w:rsid w:val="00594468"/>
    <w:rsid w:val="005C46CC"/>
    <w:rsid w:val="005D0A9C"/>
    <w:rsid w:val="005D3E4F"/>
    <w:rsid w:val="005D4BC6"/>
    <w:rsid w:val="005E2D14"/>
    <w:rsid w:val="006119DC"/>
    <w:rsid w:val="006227F0"/>
    <w:rsid w:val="00633F95"/>
    <w:rsid w:val="00666671"/>
    <w:rsid w:val="00667863"/>
    <w:rsid w:val="006A7992"/>
    <w:rsid w:val="006B746D"/>
    <w:rsid w:val="006C6F0B"/>
    <w:rsid w:val="006E0D52"/>
    <w:rsid w:val="006E1213"/>
    <w:rsid w:val="006F52EC"/>
    <w:rsid w:val="007027FA"/>
    <w:rsid w:val="007105F8"/>
    <w:rsid w:val="0071152E"/>
    <w:rsid w:val="007464BD"/>
    <w:rsid w:val="00746A82"/>
    <w:rsid w:val="00751BFE"/>
    <w:rsid w:val="00753FD0"/>
    <w:rsid w:val="007756D1"/>
    <w:rsid w:val="00783CB0"/>
    <w:rsid w:val="00786E5B"/>
    <w:rsid w:val="0079502A"/>
    <w:rsid w:val="0079604F"/>
    <w:rsid w:val="007A5074"/>
    <w:rsid w:val="007B2CBE"/>
    <w:rsid w:val="007C0EF2"/>
    <w:rsid w:val="007D4090"/>
    <w:rsid w:val="007E4542"/>
    <w:rsid w:val="007F094B"/>
    <w:rsid w:val="007F57FB"/>
    <w:rsid w:val="00801CBF"/>
    <w:rsid w:val="008043B6"/>
    <w:rsid w:val="008200D1"/>
    <w:rsid w:val="00827DDE"/>
    <w:rsid w:val="00841D05"/>
    <w:rsid w:val="00846FE9"/>
    <w:rsid w:val="00892771"/>
    <w:rsid w:val="008B247F"/>
    <w:rsid w:val="008C278E"/>
    <w:rsid w:val="008E04C4"/>
    <w:rsid w:val="008E24DE"/>
    <w:rsid w:val="008E427E"/>
    <w:rsid w:val="008E6B24"/>
    <w:rsid w:val="008F4606"/>
    <w:rsid w:val="008F62AA"/>
    <w:rsid w:val="00901AFD"/>
    <w:rsid w:val="0091756E"/>
    <w:rsid w:val="009212E3"/>
    <w:rsid w:val="00936974"/>
    <w:rsid w:val="009559DE"/>
    <w:rsid w:val="0096173E"/>
    <w:rsid w:val="009873B9"/>
    <w:rsid w:val="00993B34"/>
    <w:rsid w:val="009958D4"/>
    <w:rsid w:val="009B5AD3"/>
    <w:rsid w:val="009D39AD"/>
    <w:rsid w:val="009D450D"/>
    <w:rsid w:val="009D5FEC"/>
    <w:rsid w:val="009E249F"/>
    <w:rsid w:val="009F394F"/>
    <w:rsid w:val="009F478A"/>
    <w:rsid w:val="00A10FAF"/>
    <w:rsid w:val="00A14790"/>
    <w:rsid w:val="00A25213"/>
    <w:rsid w:val="00A2571E"/>
    <w:rsid w:val="00A313D3"/>
    <w:rsid w:val="00A31E01"/>
    <w:rsid w:val="00A358AA"/>
    <w:rsid w:val="00A45DA9"/>
    <w:rsid w:val="00A50CA8"/>
    <w:rsid w:val="00A607A8"/>
    <w:rsid w:val="00A83EA4"/>
    <w:rsid w:val="00A877E4"/>
    <w:rsid w:val="00AC76C3"/>
    <w:rsid w:val="00AE4319"/>
    <w:rsid w:val="00B160F7"/>
    <w:rsid w:val="00B31627"/>
    <w:rsid w:val="00B424C0"/>
    <w:rsid w:val="00B52C0E"/>
    <w:rsid w:val="00B539D3"/>
    <w:rsid w:val="00B91435"/>
    <w:rsid w:val="00B95938"/>
    <w:rsid w:val="00B967D3"/>
    <w:rsid w:val="00BB2EE8"/>
    <w:rsid w:val="00BB6CE2"/>
    <w:rsid w:val="00BC3AA8"/>
    <w:rsid w:val="00BD298F"/>
    <w:rsid w:val="00BF2EC1"/>
    <w:rsid w:val="00BF4FD1"/>
    <w:rsid w:val="00C129F1"/>
    <w:rsid w:val="00C2030B"/>
    <w:rsid w:val="00C24CBC"/>
    <w:rsid w:val="00C3056B"/>
    <w:rsid w:val="00C345CC"/>
    <w:rsid w:val="00C43C31"/>
    <w:rsid w:val="00C44E95"/>
    <w:rsid w:val="00C5563D"/>
    <w:rsid w:val="00C63BDD"/>
    <w:rsid w:val="00C66321"/>
    <w:rsid w:val="00C81E49"/>
    <w:rsid w:val="00C91A4D"/>
    <w:rsid w:val="00CA0FC7"/>
    <w:rsid w:val="00CB0079"/>
    <w:rsid w:val="00CB0F9F"/>
    <w:rsid w:val="00CC0833"/>
    <w:rsid w:val="00CC77B6"/>
    <w:rsid w:val="00CE6290"/>
    <w:rsid w:val="00D07B30"/>
    <w:rsid w:val="00D102B8"/>
    <w:rsid w:val="00D16256"/>
    <w:rsid w:val="00D36EAD"/>
    <w:rsid w:val="00D47758"/>
    <w:rsid w:val="00D739E0"/>
    <w:rsid w:val="00D833DB"/>
    <w:rsid w:val="00D86173"/>
    <w:rsid w:val="00D87F01"/>
    <w:rsid w:val="00D97956"/>
    <w:rsid w:val="00DB5D22"/>
    <w:rsid w:val="00DC0B14"/>
    <w:rsid w:val="00DC19FA"/>
    <w:rsid w:val="00DD5088"/>
    <w:rsid w:val="00DD7AC4"/>
    <w:rsid w:val="00DF1DAB"/>
    <w:rsid w:val="00DF7278"/>
    <w:rsid w:val="00E00617"/>
    <w:rsid w:val="00E26720"/>
    <w:rsid w:val="00E27D1A"/>
    <w:rsid w:val="00E32768"/>
    <w:rsid w:val="00E55624"/>
    <w:rsid w:val="00E6322D"/>
    <w:rsid w:val="00E70781"/>
    <w:rsid w:val="00E93C20"/>
    <w:rsid w:val="00EA3029"/>
    <w:rsid w:val="00ED0B88"/>
    <w:rsid w:val="00EE7CC5"/>
    <w:rsid w:val="00EF39B8"/>
    <w:rsid w:val="00F04DFF"/>
    <w:rsid w:val="00F1372E"/>
    <w:rsid w:val="00F24D2F"/>
    <w:rsid w:val="00F456AF"/>
    <w:rsid w:val="00F6789D"/>
    <w:rsid w:val="00F83D91"/>
    <w:rsid w:val="00F875F0"/>
    <w:rsid w:val="00F96DDB"/>
    <w:rsid w:val="00F9762E"/>
    <w:rsid w:val="00FA7284"/>
    <w:rsid w:val="00FA76C7"/>
    <w:rsid w:val="00FB322F"/>
    <w:rsid w:val="00FC5538"/>
    <w:rsid w:val="00FD70C9"/>
    <w:rsid w:val="00FE4ADB"/>
    <w:rsid w:val="00FF0BF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FA229"/>
  <w15:chartTrackingRefBased/>
  <w15:docId w15:val="{3084613A-22C4-E34F-8AAC-94475163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13FA"/>
    <w:pPr>
      <w:spacing w:after="120" w:line="360" w:lineRule="auto"/>
      <w:ind w:firstLine="720"/>
      <w:jc w:val="both"/>
    </w:pPr>
    <w:rPr>
      <w:sz w:val="24"/>
      <w:szCs w:val="22"/>
      <w:lang w:eastAsia="en-US"/>
    </w:rPr>
  </w:style>
  <w:style w:type="paragraph" w:styleId="1">
    <w:name w:val="heading 1"/>
    <w:basedOn w:val="a"/>
    <w:next w:val="a"/>
    <w:link w:val="1Char"/>
    <w:uiPriority w:val="9"/>
    <w:qFormat/>
    <w:rsid w:val="00A50CA8"/>
    <w:pPr>
      <w:keepNext/>
      <w:ind w:firstLine="0"/>
      <w:outlineLvl w:val="0"/>
    </w:pPr>
    <w:rPr>
      <w:rFonts w:eastAsia="Times New Roman"/>
      <w:b/>
      <w:bCs/>
      <w:kern w:val="32"/>
      <w:sz w:val="32"/>
      <w:szCs w:val="32"/>
    </w:rPr>
  </w:style>
  <w:style w:type="paragraph" w:styleId="2">
    <w:name w:val="heading 2"/>
    <w:basedOn w:val="a"/>
    <w:next w:val="a"/>
    <w:link w:val="2Char"/>
    <w:uiPriority w:val="9"/>
    <w:unhideWhenUsed/>
    <w:qFormat/>
    <w:rsid w:val="00A50CA8"/>
    <w:pPr>
      <w:keepNext/>
      <w:ind w:firstLine="0"/>
      <w:outlineLvl w:val="1"/>
    </w:pPr>
    <w:rPr>
      <w:rFonts w:eastAsia="Times New Roman"/>
      <w:b/>
      <w:bCs/>
      <w:iCs/>
      <w:sz w:val="28"/>
      <w:szCs w:val="28"/>
    </w:rPr>
  </w:style>
  <w:style w:type="paragraph" w:styleId="3">
    <w:name w:val="heading 3"/>
    <w:basedOn w:val="a"/>
    <w:next w:val="a"/>
    <w:link w:val="3Char"/>
    <w:uiPriority w:val="9"/>
    <w:unhideWhenUsed/>
    <w:qFormat/>
    <w:rsid w:val="003874B1"/>
    <w:pPr>
      <w:keepNext/>
      <w:ind w:firstLine="0"/>
      <w:outlineLvl w:val="2"/>
    </w:pPr>
    <w:rPr>
      <w:rFonts w:eastAsia="Times New Roman"/>
      <w:b/>
      <w:bCs/>
      <w:sz w:val="28"/>
      <w:szCs w:val="26"/>
    </w:rPr>
  </w:style>
  <w:style w:type="paragraph" w:styleId="5">
    <w:name w:val="heading 5"/>
    <w:basedOn w:val="a"/>
    <w:next w:val="a"/>
    <w:link w:val="5Char"/>
    <w:qFormat/>
    <w:rsid w:val="00B52C0E"/>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358AA"/>
    <w:rPr>
      <w:b/>
      <w:bCs/>
    </w:rPr>
  </w:style>
  <w:style w:type="paragraph" w:customStyle="1" w:styleId="Default">
    <w:name w:val="Default"/>
    <w:rsid w:val="00DF7278"/>
    <w:pPr>
      <w:autoSpaceDE w:val="0"/>
      <w:autoSpaceDN w:val="0"/>
      <w:adjustRightInd w:val="0"/>
    </w:pPr>
    <w:rPr>
      <w:rFonts w:ascii="Calibri" w:hAnsi="Calibri" w:cs="Calibri"/>
      <w:color w:val="000000"/>
      <w:sz w:val="24"/>
      <w:szCs w:val="24"/>
    </w:rPr>
  </w:style>
  <w:style w:type="character" w:customStyle="1" w:styleId="A8">
    <w:name w:val="A8"/>
    <w:uiPriority w:val="99"/>
    <w:rsid w:val="00FC5538"/>
    <w:rPr>
      <w:rFonts w:cs="Agenda"/>
      <w:color w:val="000000"/>
      <w:sz w:val="12"/>
      <w:szCs w:val="12"/>
    </w:rPr>
  </w:style>
  <w:style w:type="character" w:styleId="-">
    <w:name w:val="Hyperlink"/>
    <w:basedOn w:val="a0"/>
    <w:uiPriority w:val="99"/>
    <w:unhideWhenUsed/>
    <w:rsid w:val="00D07B30"/>
    <w:rPr>
      <w:color w:val="0000FF"/>
      <w:u w:val="single"/>
    </w:rPr>
  </w:style>
  <w:style w:type="paragraph" w:styleId="Web">
    <w:name w:val="Normal (Web)"/>
    <w:basedOn w:val="a"/>
    <w:uiPriority w:val="99"/>
    <w:unhideWhenUsed/>
    <w:rsid w:val="00D07B30"/>
    <w:pPr>
      <w:spacing w:before="100" w:beforeAutospacing="1" w:after="100" w:afterAutospacing="1" w:line="240" w:lineRule="auto"/>
      <w:ind w:firstLine="0"/>
      <w:jc w:val="left"/>
    </w:pPr>
    <w:rPr>
      <w:rFonts w:eastAsia="Times New Roman"/>
      <w:szCs w:val="24"/>
      <w:lang w:eastAsia="el-GR"/>
    </w:rPr>
  </w:style>
  <w:style w:type="character" w:customStyle="1" w:styleId="1Char">
    <w:name w:val="Επικεφαλίδα 1 Char"/>
    <w:basedOn w:val="a0"/>
    <w:link w:val="1"/>
    <w:uiPriority w:val="9"/>
    <w:rsid w:val="00A50CA8"/>
    <w:rPr>
      <w:rFonts w:eastAsia="Times New Roman" w:cs="Times New Roman"/>
      <w:b/>
      <w:bCs/>
      <w:kern w:val="32"/>
      <w:sz w:val="32"/>
      <w:szCs w:val="32"/>
      <w:lang w:eastAsia="en-US"/>
    </w:rPr>
  </w:style>
  <w:style w:type="character" w:customStyle="1" w:styleId="2Char">
    <w:name w:val="Επικεφαλίδα 2 Char"/>
    <w:basedOn w:val="a0"/>
    <w:link w:val="2"/>
    <w:uiPriority w:val="9"/>
    <w:rsid w:val="00A50CA8"/>
    <w:rPr>
      <w:rFonts w:eastAsia="Times New Roman" w:cs="Times New Roman"/>
      <w:b/>
      <w:bCs/>
      <w:iCs/>
      <w:sz w:val="28"/>
      <w:szCs w:val="28"/>
      <w:lang w:eastAsia="en-US"/>
    </w:rPr>
  </w:style>
  <w:style w:type="character" w:customStyle="1" w:styleId="3Char">
    <w:name w:val="Επικεφαλίδα 3 Char"/>
    <w:basedOn w:val="a0"/>
    <w:link w:val="3"/>
    <w:uiPriority w:val="9"/>
    <w:rsid w:val="003874B1"/>
    <w:rPr>
      <w:rFonts w:eastAsia="Times New Roman"/>
      <w:b/>
      <w:bCs/>
      <w:sz w:val="28"/>
      <w:szCs w:val="26"/>
      <w:lang w:eastAsia="en-US"/>
    </w:rPr>
  </w:style>
  <w:style w:type="character" w:customStyle="1" w:styleId="tlid-translation">
    <w:name w:val="tlid-translation"/>
    <w:basedOn w:val="a0"/>
    <w:rsid w:val="002D4FC9"/>
  </w:style>
  <w:style w:type="paragraph" w:styleId="10">
    <w:name w:val="toc 1"/>
    <w:basedOn w:val="a"/>
    <w:next w:val="a"/>
    <w:autoRedefine/>
    <w:uiPriority w:val="39"/>
    <w:unhideWhenUsed/>
    <w:rsid w:val="00C3056B"/>
    <w:pPr>
      <w:ind w:firstLine="0"/>
    </w:pPr>
  </w:style>
  <w:style w:type="paragraph" w:styleId="20">
    <w:name w:val="toc 2"/>
    <w:basedOn w:val="a"/>
    <w:next w:val="a"/>
    <w:autoRedefine/>
    <w:uiPriority w:val="39"/>
    <w:unhideWhenUsed/>
    <w:rsid w:val="00C3056B"/>
    <w:pPr>
      <w:ind w:left="238" w:firstLine="0"/>
    </w:pPr>
  </w:style>
  <w:style w:type="paragraph" w:styleId="30">
    <w:name w:val="toc 3"/>
    <w:basedOn w:val="a"/>
    <w:next w:val="a"/>
    <w:autoRedefine/>
    <w:uiPriority w:val="39"/>
    <w:unhideWhenUsed/>
    <w:rsid w:val="00C3056B"/>
    <w:pPr>
      <w:ind w:left="482" w:firstLine="0"/>
    </w:pPr>
  </w:style>
  <w:style w:type="paragraph" w:styleId="4">
    <w:name w:val="toc 4"/>
    <w:basedOn w:val="a"/>
    <w:next w:val="a"/>
    <w:autoRedefine/>
    <w:uiPriority w:val="39"/>
    <w:semiHidden/>
    <w:unhideWhenUsed/>
    <w:rsid w:val="00C3056B"/>
    <w:pPr>
      <w:ind w:left="720" w:firstLine="0"/>
    </w:pPr>
  </w:style>
  <w:style w:type="character" w:customStyle="1" w:styleId="bkciteavail">
    <w:name w:val="bk_cite_avail"/>
    <w:basedOn w:val="a0"/>
    <w:rsid w:val="002D4FC9"/>
  </w:style>
  <w:style w:type="paragraph" w:styleId="a4">
    <w:name w:val="header"/>
    <w:basedOn w:val="a"/>
    <w:link w:val="Char"/>
    <w:uiPriority w:val="99"/>
    <w:semiHidden/>
    <w:unhideWhenUsed/>
    <w:rsid w:val="00DC0B14"/>
    <w:pPr>
      <w:tabs>
        <w:tab w:val="center" w:pos="4153"/>
        <w:tab w:val="right" w:pos="8306"/>
      </w:tabs>
    </w:pPr>
  </w:style>
  <w:style w:type="character" w:customStyle="1" w:styleId="Char">
    <w:name w:val="Κεφαλίδα Char"/>
    <w:basedOn w:val="a0"/>
    <w:link w:val="a4"/>
    <w:uiPriority w:val="99"/>
    <w:semiHidden/>
    <w:rsid w:val="00DC0B14"/>
    <w:rPr>
      <w:sz w:val="24"/>
      <w:szCs w:val="22"/>
      <w:lang w:eastAsia="en-US"/>
    </w:rPr>
  </w:style>
  <w:style w:type="paragraph" w:styleId="a5">
    <w:name w:val="footer"/>
    <w:basedOn w:val="a"/>
    <w:link w:val="Char0"/>
    <w:uiPriority w:val="99"/>
    <w:unhideWhenUsed/>
    <w:rsid w:val="00DC0B14"/>
    <w:pPr>
      <w:tabs>
        <w:tab w:val="center" w:pos="4153"/>
        <w:tab w:val="right" w:pos="8306"/>
      </w:tabs>
    </w:pPr>
  </w:style>
  <w:style w:type="character" w:customStyle="1" w:styleId="Char0">
    <w:name w:val="Υποσέλιδο Char"/>
    <w:basedOn w:val="a0"/>
    <w:link w:val="a5"/>
    <w:uiPriority w:val="99"/>
    <w:rsid w:val="00DC0B14"/>
    <w:rPr>
      <w:sz w:val="24"/>
      <w:szCs w:val="22"/>
      <w:lang w:eastAsia="en-US"/>
    </w:rPr>
  </w:style>
  <w:style w:type="character" w:customStyle="1" w:styleId="element-citation">
    <w:name w:val="element-citation"/>
    <w:basedOn w:val="a0"/>
    <w:rsid w:val="000E17A4"/>
  </w:style>
  <w:style w:type="character" w:customStyle="1" w:styleId="ref-journal">
    <w:name w:val="ref-journal"/>
    <w:basedOn w:val="a0"/>
    <w:rsid w:val="000E17A4"/>
  </w:style>
  <w:style w:type="character" w:customStyle="1" w:styleId="ref-vol">
    <w:name w:val="ref-vol"/>
    <w:basedOn w:val="a0"/>
    <w:rsid w:val="000E17A4"/>
  </w:style>
  <w:style w:type="paragraph" w:styleId="a6">
    <w:name w:val="caption"/>
    <w:basedOn w:val="a"/>
    <w:next w:val="a"/>
    <w:uiPriority w:val="35"/>
    <w:unhideWhenUsed/>
    <w:qFormat/>
    <w:rsid w:val="00445993"/>
    <w:rPr>
      <w:b/>
      <w:bCs/>
      <w:sz w:val="20"/>
      <w:szCs w:val="20"/>
    </w:rPr>
  </w:style>
  <w:style w:type="character" w:customStyle="1" w:styleId="mixed-citation">
    <w:name w:val="mixed-citation"/>
    <w:basedOn w:val="a0"/>
    <w:rsid w:val="00783CB0"/>
  </w:style>
  <w:style w:type="character" w:customStyle="1" w:styleId="ref-title">
    <w:name w:val="ref-title"/>
    <w:basedOn w:val="a0"/>
    <w:rsid w:val="00783CB0"/>
  </w:style>
  <w:style w:type="character" w:customStyle="1" w:styleId="nowrap">
    <w:name w:val="nowrap"/>
    <w:basedOn w:val="a0"/>
    <w:rsid w:val="00783CB0"/>
  </w:style>
  <w:style w:type="paragraph" w:customStyle="1" w:styleId="contribs">
    <w:name w:val="contribs"/>
    <w:basedOn w:val="a"/>
    <w:rsid w:val="00783CB0"/>
    <w:pPr>
      <w:spacing w:before="100" w:beforeAutospacing="1" w:after="100" w:afterAutospacing="1" w:line="240" w:lineRule="auto"/>
      <w:ind w:firstLine="0"/>
      <w:jc w:val="left"/>
    </w:pPr>
    <w:rPr>
      <w:rFonts w:eastAsia="Times New Roman"/>
      <w:szCs w:val="24"/>
      <w:lang w:eastAsia="el-GR"/>
    </w:rPr>
  </w:style>
  <w:style w:type="paragraph" w:customStyle="1" w:styleId="fm-aai">
    <w:name w:val="fm-aai"/>
    <w:basedOn w:val="a"/>
    <w:rsid w:val="00783CB0"/>
    <w:pPr>
      <w:spacing w:before="100" w:beforeAutospacing="1" w:after="100" w:afterAutospacing="1" w:line="240" w:lineRule="auto"/>
      <w:ind w:firstLine="0"/>
      <w:jc w:val="left"/>
    </w:pPr>
    <w:rPr>
      <w:rFonts w:eastAsia="Times New Roman"/>
      <w:szCs w:val="24"/>
      <w:lang w:eastAsia="el-GR"/>
    </w:rPr>
  </w:style>
  <w:style w:type="paragraph" w:customStyle="1" w:styleId="p">
    <w:name w:val="p"/>
    <w:basedOn w:val="a"/>
    <w:rsid w:val="00783CB0"/>
    <w:pPr>
      <w:spacing w:before="100" w:beforeAutospacing="1" w:after="100" w:afterAutospacing="1" w:line="240" w:lineRule="auto"/>
      <w:ind w:firstLine="0"/>
      <w:jc w:val="left"/>
    </w:pPr>
    <w:rPr>
      <w:rFonts w:eastAsia="Times New Roman"/>
      <w:szCs w:val="24"/>
      <w:lang w:eastAsia="el-GR"/>
    </w:rPr>
  </w:style>
  <w:style w:type="character" w:customStyle="1" w:styleId="kwd-text">
    <w:name w:val="kwd-text"/>
    <w:basedOn w:val="a0"/>
    <w:rsid w:val="00783CB0"/>
  </w:style>
  <w:style w:type="character" w:styleId="a7">
    <w:name w:val="Emphasis"/>
    <w:basedOn w:val="a0"/>
    <w:qFormat/>
    <w:rsid w:val="00783CB0"/>
    <w:rPr>
      <w:i/>
      <w:iCs/>
    </w:rPr>
  </w:style>
  <w:style w:type="character" w:customStyle="1" w:styleId="cit">
    <w:name w:val="cit"/>
    <w:basedOn w:val="a0"/>
    <w:rsid w:val="00783CB0"/>
  </w:style>
  <w:style w:type="character" w:customStyle="1" w:styleId="fm-vol-iss-date">
    <w:name w:val="fm-vol-iss-date"/>
    <w:basedOn w:val="a0"/>
    <w:rsid w:val="00783CB0"/>
  </w:style>
  <w:style w:type="character" w:customStyle="1" w:styleId="doi">
    <w:name w:val="doi"/>
    <w:basedOn w:val="a0"/>
    <w:rsid w:val="00783CB0"/>
  </w:style>
  <w:style w:type="character" w:customStyle="1" w:styleId="fm-citation-ids-label">
    <w:name w:val="fm-citation-ids-label"/>
    <w:basedOn w:val="a0"/>
    <w:rsid w:val="00783CB0"/>
  </w:style>
  <w:style w:type="character" w:customStyle="1" w:styleId="acknowledgment-journal-title">
    <w:name w:val="acknowledgment-journal-title"/>
    <w:basedOn w:val="a0"/>
    <w:rsid w:val="00783CB0"/>
  </w:style>
  <w:style w:type="character" w:customStyle="1" w:styleId="article-headerjournal">
    <w:name w:val="article-header__journal"/>
    <w:basedOn w:val="a0"/>
    <w:rsid w:val="00CB0079"/>
  </w:style>
  <w:style w:type="character" w:customStyle="1" w:styleId="article-headersep">
    <w:name w:val="article-header__sep"/>
    <w:basedOn w:val="a0"/>
    <w:rsid w:val="00CB0079"/>
  </w:style>
  <w:style w:type="character" w:customStyle="1" w:styleId="article-headerpages">
    <w:name w:val="article-header__pages"/>
    <w:basedOn w:val="a0"/>
    <w:rsid w:val="00CB0079"/>
  </w:style>
  <w:style w:type="character" w:customStyle="1" w:styleId="article-headerdate">
    <w:name w:val="article-header__date"/>
    <w:basedOn w:val="a0"/>
    <w:rsid w:val="00CB0079"/>
  </w:style>
  <w:style w:type="character" w:customStyle="1" w:styleId="5Char">
    <w:name w:val="Επικεφαλίδα 5 Char"/>
    <w:basedOn w:val="a0"/>
    <w:link w:val="5"/>
    <w:rsid w:val="00B52C0E"/>
    <w:rPr>
      <w:b/>
      <w:bCs/>
      <w:i/>
      <w:iCs/>
      <w:sz w:val="26"/>
      <w:szCs w:val="26"/>
      <w:lang w:eastAsia="en-US"/>
    </w:rPr>
  </w:style>
  <w:style w:type="character" w:customStyle="1" w:styleId="acopre">
    <w:name w:val="acopre"/>
    <w:basedOn w:val="a0"/>
    <w:rsid w:val="00751BFE"/>
  </w:style>
  <w:style w:type="paragraph" w:styleId="a9">
    <w:name w:val="table of figures"/>
    <w:basedOn w:val="a"/>
    <w:next w:val="a"/>
    <w:uiPriority w:val="99"/>
    <w:unhideWhenUsed/>
    <w:rsid w:val="008F4606"/>
    <w:pPr>
      <w:ind w:firstLine="0"/>
    </w:pPr>
  </w:style>
  <w:style w:type="character" w:customStyle="1" w:styleId="alt-edited">
    <w:name w:val="alt-edited"/>
    <w:basedOn w:val="a0"/>
    <w:rsid w:val="00801CBF"/>
  </w:style>
  <w:style w:type="paragraph" w:styleId="aa">
    <w:name w:val="footnote text"/>
    <w:basedOn w:val="a"/>
    <w:link w:val="Char1"/>
    <w:uiPriority w:val="99"/>
    <w:semiHidden/>
    <w:unhideWhenUsed/>
    <w:rsid w:val="003222F3"/>
    <w:rPr>
      <w:sz w:val="20"/>
      <w:szCs w:val="20"/>
    </w:rPr>
  </w:style>
  <w:style w:type="character" w:customStyle="1" w:styleId="Char1">
    <w:name w:val="Κείμενο υποσημείωσης Char"/>
    <w:basedOn w:val="a0"/>
    <w:link w:val="aa"/>
    <w:uiPriority w:val="99"/>
    <w:semiHidden/>
    <w:rsid w:val="003222F3"/>
    <w:rPr>
      <w:lang w:eastAsia="en-US"/>
    </w:rPr>
  </w:style>
  <w:style w:type="character" w:styleId="ab">
    <w:name w:val="footnote reference"/>
    <w:basedOn w:val="a0"/>
    <w:uiPriority w:val="99"/>
    <w:semiHidden/>
    <w:unhideWhenUsed/>
    <w:rsid w:val="003222F3"/>
    <w:rPr>
      <w:vertAlign w:val="superscript"/>
    </w:rPr>
  </w:style>
  <w:style w:type="paragraph" w:styleId="ac">
    <w:name w:val="No Spacing"/>
    <w:uiPriority w:val="1"/>
    <w:qFormat/>
    <w:rsid w:val="00037ECE"/>
    <w:pPr>
      <w:ind w:firstLine="720"/>
      <w:jc w:val="both"/>
    </w:pPr>
    <w:rPr>
      <w:sz w:val="24"/>
      <w:szCs w:val="22"/>
      <w:lang w:eastAsia="en-US"/>
    </w:rPr>
  </w:style>
  <w:style w:type="paragraph" w:customStyle="1" w:styleId="c-article-referencestext">
    <w:name w:val="c-article-references__text"/>
    <w:basedOn w:val="a"/>
    <w:rsid w:val="00D102B8"/>
    <w:pPr>
      <w:spacing w:before="100" w:beforeAutospacing="1" w:after="100" w:afterAutospacing="1" w:line="240" w:lineRule="auto"/>
      <w:ind w:firstLine="0"/>
      <w:jc w:val="left"/>
    </w:pPr>
    <w:rPr>
      <w:rFonts w:eastAsia="Times New Roman"/>
      <w:szCs w:val="24"/>
      <w:lang w:eastAsia="el-GR"/>
    </w:rPr>
  </w:style>
  <w:style w:type="character" w:customStyle="1" w:styleId="nlmarticle-title">
    <w:name w:val="nlm_article-title"/>
    <w:basedOn w:val="a0"/>
    <w:rsid w:val="000F06AA"/>
  </w:style>
  <w:style w:type="character" w:customStyle="1" w:styleId="nlmyear">
    <w:name w:val="nlm_year"/>
    <w:basedOn w:val="a0"/>
    <w:rsid w:val="000F06AA"/>
  </w:style>
  <w:style w:type="character" w:customStyle="1" w:styleId="nlmsupplement">
    <w:name w:val="nlm_supplement"/>
    <w:basedOn w:val="a0"/>
    <w:rsid w:val="000F06AA"/>
  </w:style>
  <w:style w:type="character" w:customStyle="1" w:styleId="nlmfpage">
    <w:name w:val="nlm_fpage"/>
    <w:basedOn w:val="a0"/>
    <w:rsid w:val="000F06AA"/>
  </w:style>
  <w:style w:type="character" w:customStyle="1" w:styleId="nlmlpage">
    <w:name w:val="nlm_lpage"/>
    <w:basedOn w:val="a0"/>
    <w:rsid w:val="000F0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195797">
      <w:bodyDiv w:val="1"/>
      <w:marLeft w:val="0"/>
      <w:marRight w:val="0"/>
      <w:marTop w:val="0"/>
      <w:marBottom w:val="0"/>
      <w:divBdr>
        <w:top w:val="none" w:sz="0" w:space="0" w:color="auto"/>
        <w:left w:val="none" w:sz="0" w:space="0" w:color="auto"/>
        <w:bottom w:val="none" w:sz="0" w:space="0" w:color="auto"/>
        <w:right w:val="none" w:sz="0" w:space="0" w:color="auto"/>
      </w:divBdr>
      <w:divsChild>
        <w:div w:id="652493452">
          <w:marLeft w:val="0"/>
          <w:marRight w:val="0"/>
          <w:marTop w:val="0"/>
          <w:marBottom w:val="0"/>
          <w:divBdr>
            <w:top w:val="none" w:sz="0" w:space="0" w:color="auto"/>
            <w:left w:val="none" w:sz="0" w:space="0" w:color="auto"/>
            <w:bottom w:val="none" w:sz="0" w:space="0" w:color="auto"/>
            <w:right w:val="none" w:sz="0" w:space="0" w:color="auto"/>
          </w:divBdr>
          <w:divsChild>
            <w:div w:id="1017658163">
              <w:marLeft w:val="0"/>
              <w:marRight w:val="0"/>
              <w:marTop w:val="0"/>
              <w:marBottom w:val="0"/>
              <w:divBdr>
                <w:top w:val="none" w:sz="0" w:space="0" w:color="auto"/>
                <w:left w:val="none" w:sz="0" w:space="0" w:color="auto"/>
                <w:bottom w:val="none" w:sz="0" w:space="0" w:color="auto"/>
                <w:right w:val="none" w:sz="0" w:space="0" w:color="auto"/>
              </w:divBdr>
            </w:div>
          </w:divsChild>
        </w:div>
        <w:div w:id="1765875579">
          <w:marLeft w:val="0"/>
          <w:marRight w:val="0"/>
          <w:marTop w:val="0"/>
          <w:marBottom w:val="0"/>
          <w:divBdr>
            <w:top w:val="none" w:sz="0" w:space="0" w:color="auto"/>
            <w:left w:val="none" w:sz="0" w:space="0" w:color="auto"/>
            <w:bottom w:val="none" w:sz="0" w:space="0" w:color="auto"/>
            <w:right w:val="none" w:sz="0" w:space="0" w:color="auto"/>
          </w:divBdr>
          <w:divsChild>
            <w:div w:id="660426279">
              <w:marLeft w:val="0"/>
              <w:marRight w:val="0"/>
              <w:marTop w:val="0"/>
              <w:marBottom w:val="0"/>
              <w:divBdr>
                <w:top w:val="none" w:sz="0" w:space="0" w:color="auto"/>
                <w:left w:val="none" w:sz="0" w:space="0" w:color="auto"/>
                <w:bottom w:val="none" w:sz="0" w:space="0" w:color="auto"/>
                <w:right w:val="none" w:sz="0" w:space="0" w:color="auto"/>
              </w:divBdr>
              <w:divsChild>
                <w:div w:id="1557231388">
                  <w:marLeft w:val="0"/>
                  <w:marRight w:val="0"/>
                  <w:marTop w:val="0"/>
                  <w:marBottom w:val="0"/>
                  <w:divBdr>
                    <w:top w:val="none" w:sz="0" w:space="0" w:color="auto"/>
                    <w:left w:val="none" w:sz="0" w:space="0" w:color="auto"/>
                    <w:bottom w:val="none" w:sz="0" w:space="0" w:color="auto"/>
                    <w:right w:val="none" w:sz="0" w:space="0" w:color="auto"/>
                  </w:divBdr>
                  <w:divsChild>
                    <w:div w:id="1277130683">
                      <w:marLeft w:val="0"/>
                      <w:marRight w:val="0"/>
                      <w:marTop w:val="0"/>
                      <w:marBottom w:val="0"/>
                      <w:divBdr>
                        <w:top w:val="none" w:sz="0" w:space="0" w:color="auto"/>
                        <w:left w:val="none" w:sz="0" w:space="0" w:color="auto"/>
                        <w:bottom w:val="none" w:sz="0" w:space="0" w:color="auto"/>
                        <w:right w:val="none" w:sz="0" w:space="0" w:color="auto"/>
                      </w:divBdr>
                    </w:div>
                    <w:div w:id="16988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847">
              <w:marLeft w:val="0"/>
              <w:marRight w:val="0"/>
              <w:marTop w:val="0"/>
              <w:marBottom w:val="0"/>
              <w:divBdr>
                <w:top w:val="none" w:sz="0" w:space="0" w:color="auto"/>
                <w:left w:val="none" w:sz="0" w:space="0" w:color="auto"/>
                <w:bottom w:val="none" w:sz="0" w:space="0" w:color="auto"/>
                <w:right w:val="none" w:sz="0" w:space="0" w:color="auto"/>
              </w:divBdr>
              <w:divsChild>
                <w:div w:id="2093701379">
                  <w:marLeft w:val="0"/>
                  <w:marRight w:val="0"/>
                  <w:marTop w:val="0"/>
                  <w:marBottom w:val="0"/>
                  <w:divBdr>
                    <w:top w:val="none" w:sz="0" w:space="0" w:color="auto"/>
                    <w:left w:val="none" w:sz="0" w:space="0" w:color="auto"/>
                    <w:bottom w:val="none" w:sz="0" w:space="0" w:color="auto"/>
                    <w:right w:val="none" w:sz="0" w:space="0" w:color="auto"/>
                  </w:divBdr>
                  <w:divsChild>
                    <w:div w:id="1128619398">
                      <w:marLeft w:val="0"/>
                      <w:marRight w:val="0"/>
                      <w:marTop w:val="0"/>
                      <w:marBottom w:val="0"/>
                      <w:divBdr>
                        <w:top w:val="none" w:sz="0" w:space="0" w:color="auto"/>
                        <w:left w:val="none" w:sz="0" w:space="0" w:color="auto"/>
                        <w:bottom w:val="none" w:sz="0" w:space="0" w:color="auto"/>
                        <w:right w:val="none" w:sz="0" w:space="0" w:color="auto"/>
                      </w:divBdr>
                    </w:div>
                    <w:div w:id="13951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825378">
      <w:bodyDiv w:val="1"/>
      <w:marLeft w:val="0"/>
      <w:marRight w:val="0"/>
      <w:marTop w:val="0"/>
      <w:marBottom w:val="0"/>
      <w:divBdr>
        <w:top w:val="none" w:sz="0" w:space="0" w:color="auto"/>
        <w:left w:val="none" w:sz="0" w:space="0" w:color="auto"/>
        <w:bottom w:val="none" w:sz="0" w:space="0" w:color="auto"/>
        <w:right w:val="none" w:sz="0" w:space="0" w:color="auto"/>
      </w:divBdr>
      <w:divsChild>
        <w:div w:id="10694039">
          <w:marLeft w:val="0"/>
          <w:marRight w:val="0"/>
          <w:marTop w:val="0"/>
          <w:marBottom w:val="0"/>
          <w:divBdr>
            <w:top w:val="none" w:sz="0" w:space="0" w:color="auto"/>
            <w:left w:val="none" w:sz="0" w:space="0" w:color="auto"/>
            <w:bottom w:val="none" w:sz="0" w:space="0" w:color="auto"/>
            <w:right w:val="none" w:sz="0" w:space="0" w:color="auto"/>
          </w:divBdr>
        </w:div>
        <w:div w:id="412970905">
          <w:marLeft w:val="0"/>
          <w:marRight w:val="0"/>
          <w:marTop w:val="0"/>
          <w:marBottom w:val="0"/>
          <w:divBdr>
            <w:top w:val="none" w:sz="0" w:space="0" w:color="auto"/>
            <w:left w:val="none" w:sz="0" w:space="0" w:color="auto"/>
            <w:bottom w:val="none" w:sz="0" w:space="0" w:color="auto"/>
            <w:right w:val="none" w:sz="0" w:space="0" w:color="auto"/>
          </w:divBdr>
        </w:div>
        <w:div w:id="1282807659">
          <w:marLeft w:val="0"/>
          <w:marRight w:val="0"/>
          <w:marTop w:val="0"/>
          <w:marBottom w:val="0"/>
          <w:divBdr>
            <w:top w:val="none" w:sz="0" w:space="0" w:color="auto"/>
            <w:left w:val="none" w:sz="0" w:space="0" w:color="auto"/>
            <w:bottom w:val="none" w:sz="0" w:space="0" w:color="auto"/>
            <w:right w:val="none" w:sz="0" w:space="0" w:color="auto"/>
          </w:divBdr>
        </w:div>
        <w:div w:id="1759592969">
          <w:marLeft w:val="0"/>
          <w:marRight w:val="0"/>
          <w:marTop w:val="0"/>
          <w:marBottom w:val="0"/>
          <w:divBdr>
            <w:top w:val="none" w:sz="0" w:space="0" w:color="auto"/>
            <w:left w:val="none" w:sz="0" w:space="0" w:color="auto"/>
            <w:bottom w:val="none" w:sz="0" w:space="0" w:color="auto"/>
            <w:right w:val="none" w:sz="0" w:space="0" w:color="auto"/>
          </w:divBdr>
        </w:div>
        <w:div w:id="2130511349">
          <w:marLeft w:val="0"/>
          <w:marRight w:val="0"/>
          <w:marTop w:val="0"/>
          <w:marBottom w:val="0"/>
          <w:divBdr>
            <w:top w:val="none" w:sz="0" w:space="0" w:color="auto"/>
            <w:left w:val="none" w:sz="0" w:space="0" w:color="auto"/>
            <w:bottom w:val="none" w:sz="0" w:space="0" w:color="auto"/>
            <w:right w:val="none" w:sz="0" w:space="0" w:color="auto"/>
          </w:divBdr>
        </w:div>
      </w:divsChild>
    </w:div>
    <w:div w:id="347752760">
      <w:bodyDiv w:val="1"/>
      <w:marLeft w:val="0"/>
      <w:marRight w:val="0"/>
      <w:marTop w:val="0"/>
      <w:marBottom w:val="0"/>
      <w:divBdr>
        <w:top w:val="none" w:sz="0" w:space="0" w:color="auto"/>
        <w:left w:val="none" w:sz="0" w:space="0" w:color="auto"/>
        <w:bottom w:val="none" w:sz="0" w:space="0" w:color="auto"/>
        <w:right w:val="none" w:sz="0" w:space="0" w:color="auto"/>
      </w:divBdr>
      <w:divsChild>
        <w:div w:id="495851712">
          <w:marLeft w:val="0"/>
          <w:marRight w:val="0"/>
          <w:marTop w:val="0"/>
          <w:marBottom w:val="0"/>
          <w:divBdr>
            <w:top w:val="none" w:sz="0" w:space="0" w:color="auto"/>
            <w:left w:val="none" w:sz="0" w:space="0" w:color="auto"/>
            <w:bottom w:val="none" w:sz="0" w:space="0" w:color="auto"/>
            <w:right w:val="none" w:sz="0" w:space="0" w:color="auto"/>
          </w:divBdr>
        </w:div>
      </w:divsChild>
    </w:div>
    <w:div w:id="459150887">
      <w:bodyDiv w:val="1"/>
      <w:marLeft w:val="0"/>
      <w:marRight w:val="0"/>
      <w:marTop w:val="0"/>
      <w:marBottom w:val="0"/>
      <w:divBdr>
        <w:top w:val="none" w:sz="0" w:space="0" w:color="auto"/>
        <w:left w:val="none" w:sz="0" w:space="0" w:color="auto"/>
        <w:bottom w:val="none" w:sz="0" w:space="0" w:color="auto"/>
        <w:right w:val="none" w:sz="0" w:space="0" w:color="auto"/>
      </w:divBdr>
      <w:divsChild>
        <w:div w:id="745151049">
          <w:marLeft w:val="0"/>
          <w:marRight w:val="0"/>
          <w:marTop w:val="0"/>
          <w:marBottom w:val="0"/>
          <w:divBdr>
            <w:top w:val="none" w:sz="0" w:space="0" w:color="auto"/>
            <w:left w:val="none" w:sz="0" w:space="0" w:color="auto"/>
            <w:bottom w:val="none" w:sz="0" w:space="0" w:color="auto"/>
            <w:right w:val="none" w:sz="0" w:space="0" w:color="auto"/>
          </w:divBdr>
          <w:divsChild>
            <w:div w:id="1858884198">
              <w:marLeft w:val="0"/>
              <w:marRight w:val="0"/>
              <w:marTop w:val="0"/>
              <w:marBottom w:val="0"/>
              <w:divBdr>
                <w:top w:val="none" w:sz="0" w:space="0" w:color="auto"/>
                <w:left w:val="none" w:sz="0" w:space="0" w:color="auto"/>
                <w:bottom w:val="none" w:sz="0" w:space="0" w:color="auto"/>
                <w:right w:val="none" w:sz="0" w:space="0" w:color="auto"/>
              </w:divBdr>
              <w:divsChild>
                <w:div w:id="913859383">
                  <w:marLeft w:val="0"/>
                  <w:marRight w:val="0"/>
                  <w:marTop w:val="0"/>
                  <w:marBottom w:val="0"/>
                  <w:divBdr>
                    <w:top w:val="none" w:sz="0" w:space="0" w:color="auto"/>
                    <w:left w:val="none" w:sz="0" w:space="0" w:color="auto"/>
                    <w:bottom w:val="none" w:sz="0" w:space="0" w:color="auto"/>
                    <w:right w:val="none" w:sz="0" w:space="0" w:color="auto"/>
                  </w:divBdr>
                  <w:divsChild>
                    <w:div w:id="2054108719">
                      <w:marLeft w:val="0"/>
                      <w:marRight w:val="0"/>
                      <w:marTop w:val="0"/>
                      <w:marBottom w:val="0"/>
                      <w:divBdr>
                        <w:top w:val="none" w:sz="0" w:space="0" w:color="auto"/>
                        <w:left w:val="none" w:sz="0" w:space="0" w:color="auto"/>
                        <w:bottom w:val="none" w:sz="0" w:space="0" w:color="auto"/>
                        <w:right w:val="none" w:sz="0" w:space="0" w:color="auto"/>
                      </w:divBdr>
                    </w:div>
                  </w:divsChild>
                </w:div>
                <w:div w:id="1792699072">
                  <w:marLeft w:val="0"/>
                  <w:marRight w:val="0"/>
                  <w:marTop w:val="0"/>
                  <w:marBottom w:val="0"/>
                  <w:divBdr>
                    <w:top w:val="none" w:sz="0" w:space="0" w:color="auto"/>
                    <w:left w:val="none" w:sz="0" w:space="0" w:color="auto"/>
                    <w:bottom w:val="none" w:sz="0" w:space="0" w:color="auto"/>
                    <w:right w:val="none" w:sz="0" w:space="0" w:color="auto"/>
                  </w:divBdr>
                  <w:divsChild>
                    <w:div w:id="1053501736">
                      <w:marLeft w:val="0"/>
                      <w:marRight w:val="0"/>
                      <w:marTop w:val="0"/>
                      <w:marBottom w:val="0"/>
                      <w:divBdr>
                        <w:top w:val="none" w:sz="0" w:space="0" w:color="auto"/>
                        <w:left w:val="none" w:sz="0" w:space="0" w:color="auto"/>
                        <w:bottom w:val="none" w:sz="0" w:space="0" w:color="auto"/>
                        <w:right w:val="none" w:sz="0" w:space="0" w:color="auto"/>
                      </w:divBdr>
                      <w:divsChild>
                        <w:div w:id="2055814984">
                          <w:marLeft w:val="0"/>
                          <w:marRight w:val="0"/>
                          <w:marTop w:val="0"/>
                          <w:marBottom w:val="0"/>
                          <w:divBdr>
                            <w:top w:val="none" w:sz="0" w:space="0" w:color="auto"/>
                            <w:left w:val="none" w:sz="0" w:space="0" w:color="auto"/>
                            <w:bottom w:val="none" w:sz="0" w:space="0" w:color="auto"/>
                            <w:right w:val="none" w:sz="0" w:space="0" w:color="auto"/>
                          </w:divBdr>
                          <w:divsChild>
                            <w:div w:id="1904215140">
                              <w:marLeft w:val="0"/>
                              <w:marRight w:val="0"/>
                              <w:marTop w:val="0"/>
                              <w:marBottom w:val="0"/>
                              <w:divBdr>
                                <w:top w:val="none" w:sz="0" w:space="0" w:color="auto"/>
                                <w:left w:val="none" w:sz="0" w:space="0" w:color="auto"/>
                                <w:bottom w:val="none" w:sz="0" w:space="0" w:color="auto"/>
                                <w:right w:val="none" w:sz="0" w:space="0" w:color="auto"/>
                              </w:divBdr>
                              <w:divsChild>
                                <w:div w:id="1892498766">
                                  <w:marLeft w:val="0"/>
                                  <w:marRight w:val="0"/>
                                  <w:marTop w:val="0"/>
                                  <w:marBottom w:val="0"/>
                                  <w:divBdr>
                                    <w:top w:val="none" w:sz="0" w:space="0" w:color="auto"/>
                                    <w:left w:val="none" w:sz="0" w:space="0" w:color="auto"/>
                                    <w:bottom w:val="none" w:sz="0" w:space="0" w:color="auto"/>
                                    <w:right w:val="none" w:sz="0" w:space="0" w:color="auto"/>
                                  </w:divBdr>
                                  <w:divsChild>
                                    <w:div w:id="58944676">
                                      <w:marLeft w:val="0"/>
                                      <w:marRight w:val="0"/>
                                      <w:marTop w:val="0"/>
                                      <w:marBottom w:val="0"/>
                                      <w:divBdr>
                                        <w:top w:val="none" w:sz="0" w:space="0" w:color="auto"/>
                                        <w:left w:val="none" w:sz="0" w:space="0" w:color="auto"/>
                                        <w:bottom w:val="none" w:sz="0" w:space="0" w:color="auto"/>
                                        <w:right w:val="none" w:sz="0" w:space="0" w:color="auto"/>
                                      </w:divBdr>
                                    </w:div>
                                    <w:div w:id="114561503">
                                      <w:marLeft w:val="0"/>
                                      <w:marRight w:val="0"/>
                                      <w:marTop w:val="0"/>
                                      <w:marBottom w:val="0"/>
                                      <w:divBdr>
                                        <w:top w:val="none" w:sz="0" w:space="0" w:color="auto"/>
                                        <w:left w:val="none" w:sz="0" w:space="0" w:color="auto"/>
                                        <w:bottom w:val="none" w:sz="0" w:space="0" w:color="auto"/>
                                        <w:right w:val="none" w:sz="0" w:space="0" w:color="auto"/>
                                      </w:divBdr>
                                    </w:div>
                                    <w:div w:id="2004968952">
                                      <w:marLeft w:val="0"/>
                                      <w:marRight w:val="0"/>
                                      <w:marTop w:val="0"/>
                                      <w:marBottom w:val="0"/>
                                      <w:divBdr>
                                        <w:top w:val="none" w:sz="0" w:space="0" w:color="auto"/>
                                        <w:left w:val="none" w:sz="0" w:space="0" w:color="auto"/>
                                        <w:bottom w:val="none" w:sz="0" w:space="0" w:color="auto"/>
                                        <w:right w:val="none" w:sz="0" w:space="0" w:color="auto"/>
                                      </w:divBdr>
                                      <w:divsChild>
                                        <w:div w:id="6840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400457">
          <w:marLeft w:val="0"/>
          <w:marRight w:val="0"/>
          <w:marTop w:val="0"/>
          <w:marBottom w:val="0"/>
          <w:divBdr>
            <w:top w:val="none" w:sz="0" w:space="0" w:color="auto"/>
            <w:left w:val="none" w:sz="0" w:space="0" w:color="auto"/>
            <w:bottom w:val="none" w:sz="0" w:space="0" w:color="auto"/>
            <w:right w:val="none" w:sz="0" w:space="0" w:color="auto"/>
          </w:divBdr>
          <w:divsChild>
            <w:div w:id="160238382">
              <w:marLeft w:val="0"/>
              <w:marRight w:val="0"/>
              <w:marTop w:val="0"/>
              <w:marBottom w:val="0"/>
              <w:divBdr>
                <w:top w:val="none" w:sz="0" w:space="0" w:color="auto"/>
                <w:left w:val="none" w:sz="0" w:space="0" w:color="auto"/>
                <w:bottom w:val="none" w:sz="0" w:space="0" w:color="auto"/>
                <w:right w:val="none" w:sz="0" w:space="0" w:color="auto"/>
              </w:divBdr>
            </w:div>
            <w:div w:id="349989152">
              <w:marLeft w:val="0"/>
              <w:marRight w:val="0"/>
              <w:marTop w:val="0"/>
              <w:marBottom w:val="0"/>
              <w:divBdr>
                <w:top w:val="none" w:sz="0" w:space="0" w:color="auto"/>
                <w:left w:val="none" w:sz="0" w:space="0" w:color="auto"/>
                <w:bottom w:val="none" w:sz="0" w:space="0" w:color="auto"/>
                <w:right w:val="none" w:sz="0" w:space="0" w:color="auto"/>
              </w:divBdr>
            </w:div>
            <w:div w:id="1521699267">
              <w:marLeft w:val="0"/>
              <w:marRight w:val="0"/>
              <w:marTop w:val="0"/>
              <w:marBottom w:val="0"/>
              <w:divBdr>
                <w:top w:val="none" w:sz="0" w:space="0" w:color="auto"/>
                <w:left w:val="none" w:sz="0" w:space="0" w:color="auto"/>
                <w:bottom w:val="none" w:sz="0" w:space="0" w:color="auto"/>
                <w:right w:val="none" w:sz="0" w:space="0" w:color="auto"/>
              </w:divBdr>
            </w:div>
            <w:div w:id="21160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80637">
      <w:bodyDiv w:val="1"/>
      <w:marLeft w:val="0"/>
      <w:marRight w:val="0"/>
      <w:marTop w:val="0"/>
      <w:marBottom w:val="0"/>
      <w:divBdr>
        <w:top w:val="none" w:sz="0" w:space="0" w:color="auto"/>
        <w:left w:val="none" w:sz="0" w:space="0" w:color="auto"/>
        <w:bottom w:val="none" w:sz="0" w:space="0" w:color="auto"/>
        <w:right w:val="none" w:sz="0" w:space="0" w:color="auto"/>
      </w:divBdr>
    </w:div>
    <w:div w:id="505676509">
      <w:bodyDiv w:val="1"/>
      <w:marLeft w:val="0"/>
      <w:marRight w:val="0"/>
      <w:marTop w:val="0"/>
      <w:marBottom w:val="0"/>
      <w:divBdr>
        <w:top w:val="none" w:sz="0" w:space="0" w:color="auto"/>
        <w:left w:val="none" w:sz="0" w:space="0" w:color="auto"/>
        <w:bottom w:val="none" w:sz="0" w:space="0" w:color="auto"/>
        <w:right w:val="none" w:sz="0" w:space="0" w:color="auto"/>
      </w:divBdr>
      <w:divsChild>
        <w:div w:id="51470934">
          <w:marLeft w:val="0"/>
          <w:marRight w:val="0"/>
          <w:marTop w:val="0"/>
          <w:marBottom w:val="0"/>
          <w:divBdr>
            <w:top w:val="none" w:sz="0" w:space="0" w:color="auto"/>
            <w:left w:val="none" w:sz="0" w:space="0" w:color="auto"/>
            <w:bottom w:val="none" w:sz="0" w:space="0" w:color="auto"/>
            <w:right w:val="none" w:sz="0" w:space="0" w:color="auto"/>
          </w:divBdr>
        </w:div>
        <w:div w:id="351879617">
          <w:marLeft w:val="0"/>
          <w:marRight w:val="0"/>
          <w:marTop w:val="0"/>
          <w:marBottom w:val="0"/>
          <w:divBdr>
            <w:top w:val="none" w:sz="0" w:space="0" w:color="auto"/>
            <w:left w:val="none" w:sz="0" w:space="0" w:color="auto"/>
            <w:bottom w:val="none" w:sz="0" w:space="0" w:color="auto"/>
            <w:right w:val="none" w:sz="0" w:space="0" w:color="auto"/>
          </w:divBdr>
        </w:div>
        <w:div w:id="408428729">
          <w:marLeft w:val="0"/>
          <w:marRight w:val="0"/>
          <w:marTop w:val="0"/>
          <w:marBottom w:val="0"/>
          <w:divBdr>
            <w:top w:val="none" w:sz="0" w:space="0" w:color="auto"/>
            <w:left w:val="none" w:sz="0" w:space="0" w:color="auto"/>
            <w:bottom w:val="none" w:sz="0" w:space="0" w:color="auto"/>
            <w:right w:val="none" w:sz="0" w:space="0" w:color="auto"/>
          </w:divBdr>
        </w:div>
        <w:div w:id="773673349">
          <w:marLeft w:val="0"/>
          <w:marRight w:val="0"/>
          <w:marTop w:val="0"/>
          <w:marBottom w:val="0"/>
          <w:divBdr>
            <w:top w:val="none" w:sz="0" w:space="0" w:color="auto"/>
            <w:left w:val="none" w:sz="0" w:space="0" w:color="auto"/>
            <w:bottom w:val="none" w:sz="0" w:space="0" w:color="auto"/>
            <w:right w:val="none" w:sz="0" w:space="0" w:color="auto"/>
          </w:divBdr>
        </w:div>
        <w:div w:id="1507283379">
          <w:marLeft w:val="0"/>
          <w:marRight w:val="0"/>
          <w:marTop w:val="0"/>
          <w:marBottom w:val="0"/>
          <w:divBdr>
            <w:top w:val="none" w:sz="0" w:space="0" w:color="auto"/>
            <w:left w:val="none" w:sz="0" w:space="0" w:color="auto"/>
            <w:bottom w:val="none" w:sz="0" w:space="0" w:color="auto"/>
            <w:right w:val="none" w:sz="0" w:space="0" w:color="auto"/>
          </w:divBdr>
        </w:div>
        <w:div w:id="1544171837">
          <w:marLeft w:val="0"/>
          <w:marRight w:val="0"/>
          <w:marTop w:val="0"/>
          <w:marBottom w:val="0"/>
          <w:divBdr>
            <w:top w:val="none" w:sz="0" w:space="0" w:color="auto"/>
            <w:left w:val="none" w:sz="0" w:space="0" w:color="auto"/>
            <w:bottom w:val="none" w:sz="0" w:space="0" w:color="auto"/>
            <w:right w:val="none" w:sz="0" w:space="0" w:color="auto"/>
          </w:divBdr>
        </w:div>
      </w:divsChild>
    </w:div>
    <w:div w:id="587614308">
      <w:bodyDiv w:val="1"/>
      <w:marLeft w:val="0"/>
      <w:marRight w:val="0"/>
      <w:marTop w:val="0"/>
      <w:marBottom w:val="0"/>
      <w:divBdr>
        <w:top w:val="none" w:sz="0" w:space="0" w:color="auto"/>
        <w:left w:val="none" w:sz="0" w:space="0" w:color="auto"/>
        <w:bottom w:val="none" w:sz="0" w:space="0" w:color="auto"/>
        <w:right w:val="none" w:sz="0" w:space="0" w:color="auto"/>
      </w:divBdr>
    </w:div>
    <w:div w:id="599919720">
      <w:bodyDiv w:val="1"/>
      <w:marLeft w:val="0"/>
      <w:marRight w:val="0"/>
      <w:marTop w:val="0"/>
      <w:marBottom w:val="0"/>
      <w:divBdr>
        <w:top w:val="none" w:sz="0" w:space="0" w:color="auto"/>
        <w:left w:val="none" w:sz="0" w:space="0" w:color="auto"/>
        <w:bottom w:val="none" w:sz="0" w:space="0" w:color="auto"/>
        <w:right w:val="none" w:sz="0" w:space="0" w:color="auto"/>
      </w:divBdr>
      <w:divsChild>
        <w:div w:id="9307135">
          <w:marLeft w:val="0"/>
          <w:marRight w:val="0"/>
          <w:marTop w:val="0"/>
          <w:marBottom w:val="0"/>
          <w:divBdr>
            <w:top w:val="none" w:sz="0" w:space="0" w:color="auto"/>
            <w:left w:val="none" w:sz="0" w:space="0" w:color="auto"/>
            <w:bottom w:val="none" w:sz="0" w:space="0" w:color="auto"/>
            <w:right w:val="none" w:sz="0" w:space="0" w:color="auto"/>
          </w:divBdr>
        </w:div>
        <w:div w:id="659161106">
          <w:marLeft w:val="0"/>
          <w:marRight w:val="0"/>
          <w:marTop w:val="0"/>
          <w:marBottom w:val="0"/>
          <w:divBdr>
            <w:top w:val="none" w:sz="0" w:space="0" w:color="auto"/>
            <w:left w:val="none" w:sz="0" w:space="0" w:color="auto"/>
            <w:bottom w:val="none" w:sz="0" w:space="0" w:color="auto"/>
            <w:right w:val="none" w:sz="0" w:space="0" w:color="auto"/>
          </w:divBdr>
        </w:div>
        <w:div w:id="820346283">
          <w:marLeft w:val="0"/>
          <w:marRight w:val="0"/>
          <w:marTop w:val="0"/>
          <w:marBottom w:val="0"/>
          <w:divBdr>
            <w:top w:val="none" w:sz="0" w:space="0" w:color="auto"/>
            <w:left w:val="none" w:sz="0" w:space="0" w:color="auto"/>
            <w:bottom w:val="none" w:sz="0" w:space="0" w:color="auto"/>
            <w:right w:val="none" w:sz="0" w:space="0" w:color="auto"/>
          </w:divBdr>
        </w:div>
        <w:div w:id="939531124">
          <w:marLeft w:val="0"/>
          <w:marRight w:val="0"/>
          <w:marTop w:val="0"/>
          <w:marBottom w:val="0"/>
          <w:divBdr>
            <w:top w:val="none" w:sz="0" w:space="0" w:color="auto"/>
            <w:left w:val="none" w:sz="0" w:space="0" w:color="auto"/>
            <w:bottom w:val="none" w:sz="0" w:space="0" w:color="auto"/>
            <w:right w:val="none" w:sz="0" w:space="0" w:color="auto"/>
          </w:divBdr>
        </w:div>
        <w:div w:id="953705340">
          <w:marLeft w:val="0"/>
          <w:marRight w:val="0"/>
          <w:marTop w:val="0"/>
          <w:marBottom w:val="0"/>
          <w:divBdr>
            <w:top w:val="none" w:sz="0" w:space="0" w:color="auto"/>
            <w:left w:val="none" w:sz="0" w:space="0" w:color="auto"/>
            <w:bottom w:val="none" w:sz="0" w:space="0" w:color="auto"/>
            <w:right w:val="none" w:sz="0" w:space="0" w:color="auto"/>
          </w:divBdr>
        </w:div>
        <w:div w:id="1712533798">
          <w:marLeft w:val="0"/>
          <w:marRight w:val="0"/>
          <w:marTop w:val="0"/>
          <w:marBottom w:val="0"/>
          <w:divBdr>
            <w:top w:val="none" w:sz="0" w:space="0" w:color="auto"/>
            <w:left w:val="none" w:sz="0" w:space="0" w:color="auto"/>
            <w:bottom w:val="none" w:sz="0" w:space="0" w:color="auto"/>
            <w:right w:val="none" w:sz="0" w:space="0" w:color="auto"/>
          </w:divBdr>
        </w:div>
      </w:divsChild>
    </w:div>
    <w:div w:id="608240004">
      <w:bodyDiv w:val="1"/>
      <w:marLeft w:val="0"/>
      <w:marRight w:val="0"/>
      <w:marTop w:val="0"/>
      <w:marBottom w:val="0"/>
      <w:divBdr>
        <w:top w:val="none" w:sz="0" w:space="0" w:color="auto"/>
        <w:left w:val="none" w:sz="0" w:space="0" w:color="auto"/>
        <w:bottom w:val="none" w:sz="0" w:space="0" w:color="auto"/>
        <w:right w:val="none" w:sz="0" w:space="0" w:color="auto"/>
      </w:divBdr>
      <w:divsChild>
        <w:div w:id="79957373">
          <w:marLeft w:val="0"/>
          <w:marRight w:val="0"/>
          <w:marTop w:val="0"/>
          <w:marBottom w:val="0"/>
          <w:divBdr>
            <w:top w:val="none" w:sz="0" w:space="0" w:color="auto"/>
            <w:left w:val="none" w:sz="0" w:space="0" w:color="auto"/>
            <w:bottom w:val="none" w:sz="0" w:space="0" w:color="auto"/>
            <w:right w:val="none" w:sz="0" w:space="0" w:color="auto"/>
          </w:divBdr>
          <w:divsChild>
            <w:div w:id="3168396">
              <w:marLeft w:val="0"/>
              <w:marRight w:val="0"/>
              <w:marTop w:val="0"/>
              <w:marBottom w:val="0"/>
              <w:divBdr>
                <w:top w:val="none" w:sz="0" w:space="0" w:color="auto"/>
                <w:left w:val="none" w:sz="0" w:space="0" w:color="auto"/>
                <w:bottom w:val="none" w:sz="0" w:space="0" w:color="auto"/>
                <w:right w:val="none" w:sz="0" w:space="0" w:color="auto"/>
              </w:divBdr>
              <w:divsChild>
                <w:div w:id="17048648">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sChild>
                        <w:div w:id="1781992678">
                          <w:marLeft w:val="0"/>
                          <w:marRight w:val="0"/>
                          <w:marTop w:val="0"/>
                          <w:marBottom w:val="0"/>
                          <w:divBdr>
                            <w:top w:val="none" w:sz="0" w:space="0" w:color="auto"/>
                            <w:left w:val="none" w:sz="0" w:space="0" w:color="auto"/>
                            <w:bottom w:val="none" w:sz="0" w:space="0" w:color="auto"/>
                            <w:right w:val="none" w:sz="0" w:space="0" w:color="auto"/>
                          </w:divBdr>
                          <w:divsChild>
                            <w:div w:id="80030869">
                              <w:marLeft w:val="0"/>
                              <w:marRight w:val="0"/>
                              <w:marTop w:val="0"/>
                              <w:marBottom w:val="0"/>
                              <w:divBdr>
                                <w:top w:val="none" w:sz="0" w:space="0" w:color="auto"/>
                                <w:left w:val="none" w:sz="0" w:space="0" w:color="auto"/>
                                <w:bottom w:val="none" w:sz="0" w:space="0" w:color="auto"/>
                                <w:right w:val="none" w:sz="0" w:space="0" w:color="auto"/>
                              </w:divBdr>
                              <w:divsChild>
                                <w:div w:id="1906067461">
                                  <w:marLeft w:val="0"/>
                                  <w:marRight w:val="0"/>
                                  <w:marTop w:val="0"/>
                                  <w:marBottom w:val="0"/>
                                  <w:divBdr>
                                    <w:top w:val="none" w:sz="0" w:space="0" w:color="auto"/>
                                    <w:left w:val="none" w:sz="0" w:space="0" w:color="auto"/>
                                    <w:bottom w:val="none" w:sz="0" w:space="0" w:color="auto"/>
                                    <w:right w:val="none" w:sz="0" w:space="0" w:color="auto"/>
                                  </w:divBdr>
                                  <w:divsChild>
                                    <w:div w:id="147602681">
                                      <w:marLeft w:val="0"/>
                                      <w:marRight w:val="0"/>
                                      <w:marTop w:val="0"/>
                                      <w:marBottom w:val="0"/>
                                      <w:divBdr>
                                        <w:top w:val="none" w:sz="0" w:space="0" w:color="auto"/>
                                        <w:left w:val="none" w:sz="0" w:space="0" w:color="auto"/>
                                        <w:bottom w:val="none" w:sz="0" w:space="0" w:color="auto"/>
                                        <w:right w:val="none" w:sz="0" w:space="0" w:color="auto"/>
                                      </w:divBdr>
                                    </w:div>
                                    <w:div w:id="730419882">
                                      <w:marLeft w:val="0"/>
                                      <w:marRight w:val="0"/>
                                      <w:marTop w:val="0"/>
                                      <w:marBottom w:val="0"/>
                                      <w:divBdr>
                                        <w:top w:val="none" w:sz="0" w:space="0" w:color="auto"/>
                                        <w:left w:val="none" w:sz="0" w:space="0" w:color="auto"/>
                                        <w:bottom w:val="none" w:sz="0" w:space="0" w:color="auto"/>
                                        <w:right w:val="none" w:sz="0" w:space="0" w:color="auto"/>
                                      </w:divBdr>
                                      <w:divsChild>
                                        <w:div w:id="999965388">
                                          <w:marLeft w:val="0"/>
                                          <w:marRight w:val="0"/>
                                          <w:marTop w:val="0"/>
                                          <w:marBottom w:val="0"/>
                                          <w:divBdr>
                                            <w:top w:val="none" w:sz="0" w:space="0" w:color="auto"/>
                                            <w:left w:val="none" w:sz="0" w:space="0" w:color="auto"/>
                                            <w:bottom w:val="none" w:sz="0" w:space="0" w:color="auto"/>
                                            <w:right w:val="none" w:sz="0" w:space="0" w:color="auto"/>
                                          </w:divBdr>
                                        </w:div>
                                      </w:divsChild>
                                    </w:div>
                                    <w:div w:id="16083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967655">
                  <w:marLeft w:val="0"/>
                  <w:marRight w:val="0"/>
                  <w:marTop w:val="0"/>
                  <w:marBottom w:val="0"/>
                  <w:divBdr>
                    <w:top w:val="none" w:sz="0" w:space="0" w:color="auto"/>
                    <w:left w:val="none" w:sz="0" w:space="0" w:color="auto"/>
                    <w:bottom w:val="none" w:sz="0" w:space="0" w:color="auto"/>
                    <w:right w:val="none" w:sz="0" w:space="0" w:color="auto"/>
                  </w:divBdr>
                  <w:divsChild>
                    <w:div w:id="6265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24672">
          <w:marLeft w:val="0"/>
          <w:marRight w:val="0"/>
          <w:marTop w:val="0"/>
          <w:marBottom w:val="0"/>
          <w:divBdr>
            <w:top w:val="none" w:sz="0" w:space="0" w:color="auto"/>
            <w:left w:val="none" w:sz="0" w:space="0" w:color="auto"/>
            <w:bottom w:val="none" w:sz="0" w:space="0" w:color="auto"/>
            <w:right w:val="none" w:sz="0" w:space="0" w:color="auto"/>
          </w:divBdr>
          <w:divsChild>
            <w:div w:id="1051540424">
              <w:marLeft w:val="0"/>
              <w:marRight w:val="0"/>
              <w:marTop w:val="0"/>
              <w:marBottom w:val="0"/>
              <w:divBdr>
                <w:top w:val="none" w:sz="0" w:space="0" w:color="auto"/>
                <w:left w:val="none" w:sz="0" w:space="0" w:color="auto"/>
                <w:bottom w:val="none" w:sz="0" w:space="0" w:color="auto"/>
                <w:right w:val="none" w:sz="0" w:space="0" w:color="auto"/>
              </w:divBdr>
            </w:div>
            <w:div w:id="1191989435">
              <w:marLeft w:val="0"/>
              <w:marRight w:val="0"/>
              <w:marTop w:val="0"/>
              <w:marBottom w:val="0"/>
              <w:divBdr>
                <w:top w:val="none" w:sz="0" w:space="0" w:color="auto"/>
                <w:left w:val="none" w:sz="0" w:space="0" w:color="auto"/>
                <w:bottom w:val="none" w:sz="0" w:space="0" w:color="auto"/>
                <w:right w:val="none" w:sz="0" w:space="0" w:color="auto"/>
              </w:divBdr>
            </w:div>
            <w:div w:id="1233856236">
              <w:marLeft w:val="0"/>
              <w:marRight w:val="0"/>
              <w:marTop w:val="0"/>
              <w:marBottom w:val="0"/>
              <w:divBdr>
                <w:top w:val="none" w:sz="0" w:space="0" w:color="auto"/>
                <w:left w:val="none" w:sz="0" w:space="0" w:color="auto"/>
                <w:bottom w:val="none" w:sz="0" w:space="0" w:color="auto"/>
                <w:right w:val="none" w:sz="0" w:space="0" w:color="auto"/>
              </w:divBdr>
            </w:div>
            <w:div w:id="20014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3093">
      <w:bodyDiv w:val="1"/>
      <w:marLeft w:val="0"/>
      <w:marRight w:val="0"/>
      <w:marTop w:val="0"/>
      <w:marBottom w:val="0"/>
      <w:divBdr>
        <w:top w:val="none" w:sz="0" w:space="0" w:color="auto"/>
        <w:left w:val="none" w:sz="0" w:space="0" w:color="auto"/>
        <w:bottom w:val="none" w:sz="0" w:space="0" w:color="auto"/>
        <w:right w:val="none" w:sz="0" w:space="0" w:color="auto"/>
      </w:divBdr>
    </w:div>
    <w:div w:id="745301396">
      <w:bodyDiv w:val="1"/>
      <w:marLeft w:val="0"/>
      <w:marRight w:val="0"/>
      <w:marTop w:val="0"/>
      <w:marBottom w:val="0"/>
      <w:divBdr>
        <w:top w:val="none" w:sz="0" w:space="0" w:color="auto"/>
        <w:left w:val="none" w:sz="0" w:space="0" w:color="auto"/>
        <w:bottom w:val="none" w:sz="0" w:space="0" w:color="auto"/>
        <w:right w:val="none" w:sz="0" w:space="0" w:color="auto"/>
      </w:divBdr>
      <w:divsChild>
        <w:div w:id="1106386480">
          <w:marLeft w:val="0"/>
          <w:marRight w:val="0"/>
          <w:marTop w:val="0"/>
          <w:marBottom w:val="0"/>
          <w:divBdr>
            <w:top w:val="none" w:sz="0" w:space="0" w:color="auto"/>
            <w:left w:val="none" w:sz="0" w:space="0" w:color="auto"/>
            <w:bottom w:val="none" w:sz="0" w:space="0" w:color="auto"/>
            <w:right w:val="none" w:sz="0" w:space="0" w:color="auto"/>
          </w:divBdr>
        </w:div>
      </w:divsChild>
    </w:div>
    <w:div w:id="784151233">
      <w:bodyDiv w:val="1"/>
      <w:marLeft w:val="0"/>
      <w:marRight w:val="0"/>
      <w:marTop w:val="0"/>
      <w:marBottom w:val="0"/>
      <w:divBdr>
        <w:top w:val="none" w:sz="0" w:space="0" w:color="auto"/>
        <w:left w:val="none" w:sz="0" w:space="0" w:color="auto"/>
        <w:bottom w:val="none" w:sz="0" w:space="0" w:color="auto"/>
        <w:right w:val="none" w:sz="0" w:space="0" w:color="auto"/>
      </w:divBdr>
      <w:divsChild>
        <w:div w:id="1822885259">
          <w:marLeft w:val="0"/>
          <w:marRight w:val="0"/>
          <w:marTop w:val="0"/>
          <w:marBottom w:val="0"/>
          <w:divBdr>
            <w:top w:val="none" w:sz="0" w:space="0" w:color="auto"/>
            <w:left w:val="none" w:sz="0" w:space="0" w:color="auto"/>
            <w:bottom w:val="none" w:sz="0" w:space="0" w:color="auto"/>
            <w:right w:val="none" w:sz="0" w:space="0" w:color="auto"/>
          </w:divBdr>
          <w:divsChild>
            <w:div w:id="4307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983">
      <w:bodyDiv w:val="1"/>
      <w:marLeft w:val="0"/>
      <w:marRight w:val="0"/>
      <w:marTop w:val="0"/>
      <w:marBottom w:val="0"/>
      <w:divBdr>
        <w:top w:val="none" w:sz="0" w:space="0" w:color="auto"/>
        <w:left w:val="none" w:sz="0" w:space="0" w:color="auto"/>
        <w:bottom w:val="none" w:sz="0" w:space="0" w:color="auto"/>
        <w:right w:val="none" w:sz="0" w:space="0" w:color="auto"/>
      </w:divBdr>
    </w:div>
    <w:div w:id="843131386">
      <w:bodyDiv w:val="1"/>
      <w:marLeft w:val="0"/>
      <w:marRight w:val="0"/>
      <w:marTop w:val="0"/>
      <w:marBottom w:val="0"/>
      <w:divBdr>
        <w:top w:val="none" w:sz="0" w:space="0" w:color="auto"/>
        <w:left w:val="none" w:sz="0" w:space="0" w:color="auto"/>
        <w:bottom w:val="none" w:sz="0" w:space="0" w:color="auto"/>
        <w:right w:val="none" w:sz="0" w:space="0" w:color="auto"/>
      </w:divBdr>
      <w:divsChild>
        <w:div w:id="93986393">
          <w:marLeft w:val="0"/>
          <w:marRight w:val="0"/>
          <w:marTop w:val="0"/>
          <w:marBottom w:val="0"/>
          <w:divBdr>
            <w:top w:val="none" w:sz="0" w:space="0" w:color="auto"/>
            <w:left w:val="none" w:sz="0" w:space="0" w:color="auto"/>
            <w:bottom w:val="none" w:sz="0" w:space="0" w:color="auto"/>
            <w:right w:val="none" w:sz="0" w:space="0" w:color="auto"/>
          </w:divBdr>
        </w:div>
        <w:div w:id="116217703">
          <w:marLeft w:val="0"/>
          <w:marRight w:val="0"/>
          <w:marTop w:val="0"/>
          <w:marBottom w:val="0"/>
          <w:divBdr>
            <w:top w:val="none" w:sz="0" w:space="0" w:color="auto"/>
            <w:left w:val="none" w:sz="0" w:space="0" w:color="auto"/>
            <w:bottom w:val="none" w:sz="0" w:space="0" w:color="auto"/>
            <w:right w:val="none" w:sz="0" w:space="0" w:color="auto"/>
          </w:divBdr>
        </w:div>
        <w:div w:id="226498527">
          <w:marLeft w:val="0"/>
          <w:marRight w:val="0"/>
          <w:marTop w:val="0"/>
          <w:marBottom w:val="0"/>
          <w:divBdr>
            <w:top w:val="none" w:sz="0" w:space="0" w:color="auto"/>
            <w:left w:val="none" w:sz="0" w:space="0" w:color="auto"/>
            <w:bottom w:val="none" w:sz="0" w:space="0" w:color="auto"/>
            <w:right w:val="none" w:sz="0" w:space="0" w:color="auto"/>
          </w:divBdr>
        </w:div>
        <w:div w:id="297809634">
          <w:marLeft w:val="0"/>
          <w:marRight w:val="0"/>
          <w:marTop w:val="0"/>
          <w:marBottom w:val="0"/>
          <w:divBdr>
            <w:top w:val="none" w:sz="0" w:space="0" w:color="auto"/>
            <w:left w:val="none" w:sz="0" w:space="0" w:color="auto"/>
            <w:bottom w:val="none" w:sz="0" w:space="0" w:color="auto"/>
            <w:right w:val="none" w:sz="0" w:space="0" w:color="auto"/>
          </w:divBdr>
        </w:div>
        <w:div w:id="503058034">
          <w:marLeft w:val="0"/>
          <w:marRight w:val="0"/>
          <w:marTop w:val="0"/>
          <w:marBottom w:val="0"/>
          <w:divBdr>
            <w:top w:val="none" w:sz="0" w:space="0" w:color="auto"/>
            <w:left w:val="none" w:sz="0" w:space="0" w:color="auto"/>
            <w:bottom w:val="none" w:sz="0" w:space="0" w:color="auto"/>
            <w:right w:val="none" w:sz="0" w:space="0" w:color="auto"/>
          </w:divBdr>
        </w:div>
        <w:div w:id="646663052">
          <w:marLeft w:val="0"/>
          <w:marRight w:val="0"/>
          <w:marTop w:val="0"/>
          <w:marBottom w:val="0"/>
          <w:divBdr>
            <w:top w:val="none" w:sz="0" w:space="0" w:color="auto"/>
            <w:left w:val="none" w:sz="0" w:space="0" w:color="auto"/>
            <w:bottom w:val="none" w:sz="0" w:space="0" w:color="auto"/>
            <w:right w:val="none" w:sz="0" w:space="0" w:color="auto"/>
          </w:divBdr>
        </w:div>
        <w:div w:id="1004744139">
          <w:marLeft w:val="0"/>
          <w:marRight w:val="0"/>
          <w:marTop w:val="0"/>
          <w:marBottom w:val="0"/>
          <w:divBdr>
            <w:top w:val="none" w:sz="0" w:space="0" w:color="auto"/>
            <w:left w:val="none" w:sz="0" w:space="0" w:color="auto"/>
            <w:bottom w:val="none" w:sz="0" w:space="0" w:color="auto"/>
            <w:right w:val="none" w:sz="0" w:space="0" w:color="auto"/>
          </w:divBdr>
        </w:div>
        <w:div w:id="1030372243">
          <w:marLeft w:val="0"/>
          <w:marRight w:val="0"/>
          <w:marTop w:val="0"/>
          <w:marBottom w:val="0"/>
          <w:divBdr>
            <w:top w:val="none" w:sz="0" w:space="0" w:color="auto"/>
            <w:left w:val="none" w:sz="0" w:space="0" w:color="auto"/>
            <w:bottom w:val="none" w:sz="0" w:space="0" w:color="auto"/>
            <w:right w:val="none" w:sz="0" w:space="0" w:color="auto"/>
          </w:divBdr>
        </w:div>
        <w:div w:id="1334332966">
          <w:marLeft w:val="0"/>
          <w:marRight w:val="0"/>
          <w:marTop w:val="0"/>
          <w:marBottom w:val="0"/>
          <w:divBdr>
            <w:top w:val="none" w:sz="0" w:space="0" w:color="auto"/>
            <w:left w:val="none" w:sz="0" w:space="0" w:color="auto"/>
            <w:bottom w:val="none" w:sz="0" w:space="0" w:color="auto"/>
            <w:right w:val="none" w:sz="0" w:space="0" w:color="auto"/>
          </w:divBdr>
        </w:div>
        <w:div w:id="1493133473">
          <w:marLeft w:val="0"/>
          <w:marRight w:val="0"/>
          <w:marTop w:val="0"/>
          <w:marBottom w:val="0"/>
          <w:divBdr>
            <w:top w:val="none" w:sz="0" w:space="0" w:color="auto"/>
            <w:left w:val="none" w:sz="0" w:space="0" w:color="auto"/>
            <w:bottom w:val="none" w:sz="0" w:space="0" w:color="auto"/>
            <w:right w:val="none" w:sz="0" w:space="0" w:color="auto"/>
          </w:divBdr>
        </w:div>
        <w:div w:id="1622372474">
          <w:marLeft w:val="0"/>
          <w:marRight w:val="0"/>
          <w:marTop w:val="0"/>
          <w:marBottom w:val="0"/>
          <w:divBdr>
            <w:top w:val="none" w:sz="0" w:space="0" w:color="auto"/>
            <w:left w:val="none" w:sz="0" w:space="0" w:color="auto"/>
            <w:bottom w:val="none" w:sz="0" w:space="0" w:color="auto"/>
            <w:right w:val="none" w:sz="0" w:space="0" w:color="auto"/>
          </w:divBdr>
        </w:div>
        <w:div w:id="1790734641">
          <w:marLeft w:val="0"/>
          <w:marRight w:val="0"/>
          <w:marTop w:val="0"/>
          <w:marBottom w:val="0"/>
          <w:divBdr>
            <w:top w:val="none" w:sz="0" w:space="0" w:color="auto"/>
            <w:left w:val="none" w:sz="0" w:space="0" w:color="auto"/>
            <w:bottom w:val="none" w:sz="0" w:space="0" w:color="auto"/>
            <w:right w:val="none" w:sz="0" w:space="0" w:color="auto"/>
          </w:divBdr>
        </w:div>
      </w:divsChild>
    </w:div>
    <w:div w:id="878401400">
      <w:bodyDiv w:val="1"/>
      <w:marLeft w:val="0"/>
      <w:marRight w:val="0"/>
      <w:marTop w:val="0"/>
      <w:marBottom w:val="0"/>
      <w:divBdr>
        <w:top w:val="none" w:sz="0" w:space="0" w:color="auto"/>
        <w:left w:val="none" w:sz="0" w:space="0" w:color="auto"/>
        <w:bottom w:val="none" w:sz="0" w:space="0" w:color="auto"/>
        <w:right w:val="none" w:sz="0" w:space="0" w:color="auto"/>
      </w:divBdr>
      <w:divsChild>
        <w:div w:id="476075129">
          <w:marLeft w:val="0"/>
          <w:marRight w:val="0"/>
          <w:marTop w:val="0"/>
          <w:marBottom w:val="0"/>
          <w:divBdr>
            <w:top w:val="none" w:sz="0" w:space="0" w:color="auto"/>
            <w:left w:val="none" w:sz="0" w:space="0" w:color="auto"/>
            <w:bottom w:val="none" w:sz="0" w:space="0" w:color="auto"/>
            <w:right w:val="none" w:sz="0" w:space="0" w:color="auto"/>
          </w:divBdr>
          <w:divsChild>
            <w:div w:id="16726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101">
      <w:bodyDiv w:val="1"/>
      <w:marLeft w:val="0"/>
      <w:marRight w:val="0"/>
      <w:marTop w:val="0"/>
      <w:marBottom w:val="0"/>
      <w:divBdr>
        <w:top w:val="none" w:sz="0" w:space="0" w:color="auto"/>
        <w:left w:val="none" w:sz="0" w:space="0" w:color="auto"/>
        <w:bottom w:val="none" w:sz="0" w:space="0" w:color="auto"/>
        <w:right w:val="none" w:sz="0" w:space="0" w:color="auto"/>
      </w:divBdr>
      <w:divsChild>
        <w:div w:id="600184515">
          <w:marLeft w:val="0"/>
          <w:marRight w:val="0"/>
          <w:marTop w:val="0"/>
          <w:marBottom w:val="0"/>
          <w:divBdr>
            <w:top w:val="none" w:sz="0" w:space="0" w:color="auto"/>
            <w:left w:val="none" w:sz="0" w:space="0" w:color="auto"/>
            <w:bottom w:val="none" w:sz="0" w:space="0" w:color="auto"/>
            <w:right w:val="none" w:sz="0" w:space="0" w:color="auto"/>
          </w:divBdr>
          <w:divsChild>
            <w:div w:id="652180399">
              <w:marLeft w:val="0"/>
              <w:marRight w:val="0"/>
              <w:marTop w:val="0"/>
              <w:marBottom w:val="0"/>
              <w:divBdr>
                <w:top w:val="none" w:sz="0" w:space="0" w:color="auto"/>
                <w:left w:val="none" w:sz="0" w:space="0" w:color="auto"/>
                <w:bottom w:val="none" w:sz="0" w:space="0" w:color="auto"/>
                <w:right w:val="none" w:sz="0" w:space="0" w:color="auto"/>
              </w:divBdr>
            </w:div>
          </w:divsChild>
        </w:div>
        <w:div w:id="1327905060">
          <w:marLeft w:val="0"/>
          <w:marRight w:val="0"/>
          <w:marTop w:val="0"/>
          <w:marBottom w:val="0"/>
          <w:divBdr>
            <w:top w:val="none" w:sz="0" w:space="0" w:color="auto"/>
            <w:left w:val="none" w:sz="0" w:space="0" w:color="auto"/>
            <w:bottom w:val="none" w:sz="0" w:space="0" w:color="auto"/>
            <w:right w:val="none" w:sz="0" w:space="0" w:color="auto"/>
          </w:divBdr>
          <w:divsChild>
            <w:div w:id="600528286">
              <w:marLeft w:val="0"/>
              <w:marRight w:val="0"/>
              <w:marTop w:val="0"/>
              <w:marBottom w:val="0"/>
              <w:divBdr>
                <w:top w:val="none" w:sz="0" w:space="0" w:color="auto"/>
                <w:left w:val="none" w:sz="0" w:space="0" w:color="auto"/>
                <w:bottom w:val="none" w:sz="0" w:space="0" w:color="auto"/>
                <w:right w:val="none" w:sz="0" w:space="0" w:color="auto"/>
              </w:divBdr>
              <w:divsChild>
                <w:div w:id="2080520290">
                  <w:marLeft w:val="0"/>
                  <w:marRight w:val="0"/>
                  <w:marTop w:val="0"/>
                  <w:marBottom w:val="0"/>
                  <w:divBdr>
                    <w:top w:val="none" w:sz="0" w:space="0" w:color="auto"/>
                    <w:left w:val="none" w:sz="0" w:space="0" w:color="auto"/>
                    <w:bottom w:val="none" w:sz="0" w:space="0" w:color="auto"/>
                    <w:right w:val="none" w:sz="0" w:space="0" w:color="auto"/>
                  </w:divBdr>
                  <w:divsChild>
                    <w:div w:id="381944355">
                      <w:marLeft w:val="0"/>
                      <w:marRight w:val="0"/>
                      <w:marTop w:val="0"/>
                      <w:marBottom w:val="0"/>
                      <w:divBdr>
                        <w:top w:val="none" w:sz="0" w:space="0" w:color="auto"/>
                        <w:left w:val="none" w:sz="0" w:space="0" w:color="auto"/>
                        <w:bottom w:val="none" w:sz="0" w:space="0" w:color="auto"/>
                        <w:right w:val="none" w:sz="0" w:space="0" w:color="auto"/>
                      </w:divBdr>
                    </w:div>
                    <w:div w:id="15295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7719">
              <w:marLeft w:val="0"/>
              <w:marRight w:val="0"/>
              <w:marTop w:val="0"/>
              <w:marBottom w:val="0"/>
              <w:divBdr>
                <w:top w:val="none" w:sz="0" w:space="0" w:color="auto"/>
                <w:left w:val="none" w:sz="0" w:space="0" w:color="auto"/>
                <w:bottom w:val="none" w:sz="0" w:space="0" w:color="auto"/>
                <w:right w:val="none" w:sz="0" w:space="0" w:color="auto"/>
              </w:divBdr>
              <w:divsChild>
                <w:div w:id="694385848">
                  <w:marLeft w:val="0"/>
                  <w:marRight w:val="0"/>
                  <w:marTop w:val="0"/>
                  <w:marBottom w:val="0"/>
                  <w:divBdr>
                    <w:top w:val="none" w:sz="0" w:space="0" w:color="auto"/>
                    <w:left w:val="none" w:sz="0" w:space="0" w:color="auto"/>
                    <w:bottom w:val="none" w:sz="0" w:space="0" w:color="auto"/>
                    <w:right w:val="none" w:sz="0" w:space="0" w:color="auto"/>
                  </w:divBdr>
                  <w:divsChild>
                    <w:div w:id="567035264">
                      <w:marLeft w:val="0"/>
                      <w:marRight w:val="0"/>
                      <w:marTop w:val="0"/>
                      <w:marBottom w:val="0"/>
                      <w:divBdr>
                        <w:top w:val="none" w:sz="0" w:space="0" w:color="auto"/>
                        <w:left w:val="none" w:sz="0" w:space="0" w:color="auto"/>
                        <w:bottom w:val="none" w:sz="0" w:space="0" w:color="auto"/>
                        <w:right w:val="none" w:sz="0" w:space="0" w:color="auto"/>
                      </w:divBdr>
                    </w:div>
                    <w:div w:id="12666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56868">
      <w:bodyDiv w:val="1"/>
      <w:marLeft w:val="0"/>
      <w:marRight w:val="0"/>
      <w:marTop w:val="0"/>
      <w:marBottom w:val="0"/>
      <w:divBdr>
        <w:top w:val="none" w:sz="0" w:space="0" w:color="auto"/>
        <w:left w:val="none" w:sz="0" w:space="0" w:color="auto"/>
        <w:bottom w:val="none" w:sz="0" w:space="0" w:color="auto"/>
        <w:right w:val="none" w:sz="0" w:space="0" w:color="auto"/>
      </w:divBdr>
    </w:div>
    <w:div w:id="1074547403">
      <w:bodyDiv w:val="1"/>
      <w:marLeft w:val="0"/>
      <w:marRight w:val="0"/>
      <w:marTop w:val="0"/>
      <w:marBottom w:val="0"/>
      <w:divBdr>
        <w:top w:val="none" w:sz="0" w:space="0" w:color="auto"/>
        <w:left w:val="none" w:sz="0" w:space="0" w:color="auto"/>
        <w:bottom w:val="none" w:sz="0" w:space="0" w:color="auto"/>
        <w:right w:val="none" w:sz="0" w:space="0" w:color="auto"/>
      </w:divBdr>
      <w:divsChild>
        <w:div w:id="36665017">
          <w:marLeft w:val="0"/>
          <w:marRight w:val="0"/>
          <w:marTop w:val="0"/>
          <w:marBottom w:val="0"/>
          <w:divBdr>
            <w:top w:val="none" w:sz="0" w:space="0" w:color="auto"/>
            <w:left w:val="none" w:sz="0" w:space="0" w:color="auto"/>
            <w:bottom w:val="none" w:sz="0" w:space="0" w:color="auto"/>
            <w:right w:val="none" w:sz="0" w:space="0" w:color="auto"/>
          </w:divBdr>
        </w:div>
        <w:div w:id="671448825">
          <w:marLeft w:val="0"/>
          <w:marRight w:val="0"/>
          <w:marTop w:val="0"/>
          <w:marBottom w:val="0"/>
          <w:divBdr>
            <w:top w:val="none" w:sz="0" w:space="0" w:color="auto"/>
            <w:left w:val="none" w:sz="0" w:space="0" w:color="auto"/>
            <w:bottom w:val="none" w:sz="0" w:space="0" w:color="auto"/>
            <w:right w:val="none" w:sz="0" w:space="0" w:color="auto"/>
          </w:divBdr>
        </w:div>
        <w:div w:id="1172404914">
          <w:marLeft w:val="0"/>
          <w:marRight w:val="0"/>
          <w:marTop w:val="0"/>
          <w:marBottom w:val="0"/>
          <w:divBdr>
            <w:top w:val="none" w:sz="0" w:space="0" w:color="auto"/>
            <w:left w:val="none" w:sz="0" w:space="0" w:color="auto"/>
            <w:bottom w:val="none" w:sz="0" w:space="0" w:color="auto"/>
            <w:right w:val="none" w:sz="0" w:space="0" w:color="auto"/>
          </w:divBdr>
        </w:div>
      </w:divsChild>
    </w:div>
    <w:div w:id="1138649192">
      <w:bodyDiv w:val="1"/>
      <w:marLeft w:val="0"/>
      <w:marRight w:val="0"/>
      <w:marTop w:val="0"/>
      <w:marBottom w:val="0"/>
      <w:divBdr>
        <w:top w:val="none" w:sz="0" w:space="0" w:color="auto"/>
        <w:left w:val="none" w:sz="0" w:space="0" w:color="auto"/>
        <w:bottom w:val="none" w:sz="0" w:space="0" w:color="auto"/>
        <w:right w:val="none" w:sz="0" w:space="0" w:color="auto"/>
      </w:divBdr>
      <w:divsChild>
        <w:div w:id="558370669">
          <w:marLeft w:val="0"/>
          <w:marRight w:val="0"/>
          <w:marTop w:val="0"/>
          <w:marBottom w:val="0"/>
          <w:divBdr>
            <w:top w:val="none" w:sz="0" w:space="0" w:color="auto"/>
            <w:left w:val="none" w:sz="0" w:space="0" w:color="auto"/>
            <w:bottom w:val="none" w:sz="0" w:space="0" w:color="auto"/>
            <w:right w:val="none" w:sz="0" w:space="0" w:color="auto"/>
          </w:divBdr>
          <w:divsChild>
            <w:div w:id="9970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8407">
      <w:bodyDiv w:val="1"/>
      <w:marLeft w:val="0"/>
      <w:marRight w:val="0"/>
      <w:marTop w:val="0"/>
      <w:marBottom w:val="0"/>
      <w:divBdr>
        <w:top w:val="none" w:sz="0" w:space="0" w:color="auto"/>
        <w:left w:val="none" w:sz="0" w:space="0" w:color="auto"/>
        <w:bottom w:val="none" w:sz="0" w:space="0" w:color="auto"/>
        <w:right w:val="none" w:sz="0" w:space="0" w:color="auto"/>
      </w:divBdr>
      <w:divsChild>
        <w:div w:id="36929507">
          <w:marLeft w:val="0"/>
          <w:marRight w:val="0"/>
          <w:marTop w:val="0"/>
          <w:marBottom w:val="0"/>
          <w:divBdr>
            <w:top w:val="none" w:sz="0" w:space="0" w:color="auto"/>
            <w:left w:val="none" w:sz="0" w:space="0" w:color="auto"/>
            <w:bottom w:val="none" w:sz="0" w:space="0" w:color="auto"/>
            <w:right w:val="none" w:sz="0" w:space="0" w:color="auto"/>
          </w:divBdr>
        </w:div>
      </w:divsChild>
    </w:div>
    <w:div w:id="1321542159">
      <w:bodyDiv w:val="1"/>
      <w:marLeft w:val="0"/>
      <w:marRight w:val="0"/>
      <w:marTop w:val="0"/>
      <w:marBottom w:val="0"/>
      <w:divBdr>
        <w:top w:val="none" w:sz="0" w:space="0" w:color="auto"/>
        <w:left w:val="none" w:sz="0" w:space="0" w:color="auto"/>
        <w:bottom w:val="none" w:sz="0" w:space="0" w:color="auto"/>
        <w:right w:val="none" w:sz="0" w:space="0" w:color="auto"/>
      </w:divBdr>
    </w:div>
    <w:div w:id="1381247394">
      <w:bodyDiv w:val="1"/>
      <w:marLeft w:val="0"/>
      <w:marRight w:val="0"/>
      <w:marTop w:val="0"/>
      <w:marBottom w:val="0"/>
      <w:divBdr>
        <w:top w:val="none" w:sz="0" w:space="0" w:color="auto"/>
        <w:left w:val="none" w:sz="0" w:space="0" w:color="auto"/>
        <w:bottom w:val="none" w:sz="0" w:space="0" w:color="auto"/>
        <w:right w:val="none" w:sz="0" w:space="0" w:color="auto"/>
      </w:divBdr>
    </w:div>
    <w:div w:id="1388068068">
      <w:bodyDiv w:val="1"/>
      <w:marLeft w:val="0"/>
      <w:marRight w:val="0"/>
      <w:marTop w:val="0"/>
      <w:marBottom w:val="0"/>
      <w:divBdr>
        <w:top w:val="none" w:sz="0" w:space="0" w:color="auto"/>
        <w:left w:val="none" w:sz="0" w:space="0" w:color="auto"/>
        <w:bottom w:val="none" w:sz="0" w:space="0" w:color="auto"/>
        <w:right w:val="none" w:sz="0" w:space="0" w:color="auto"/>
      </w:divBdr>
    </w:div>
    <w:div w:id="1584417136">
      <w:bodyDiv w:val="1"/>
      <w:marLeft w:val="0"/>
      <w:marRight w:val="0"/>
      <w:marTop w:val="0"/>
      <w:marBottom w:val="0"/>
      <w:divBdr>
        <w:top w:val="none" w:sz="0" w:space="0" w:color="auto"/>
        <w:left w:val="none" w:sz="0" w:space="0" w:color="auto"/>
        <w:bottom w:val="none" w:sz="0" w:space="0" w:color="auto"/>
        <w:right w:val="none" w:sz="0" w:space="0" w:color="auto"/>
      </w:divBdr>
    </w:div>
    <w:div w:id="1725059890">
      <w:bodyDiv w:val="1"/>
      <w:marLeft w:val="0"/>
      <w:marRight w:val="0"/>
      <w:marTop w:val="0"/>
      <w:marBottom w:val="0"/>
      <w:divBdr>
        <w:top w:val="none" w:sz="0" w:space="0" w:color="auto"/>
        <w:left w:val="none" w:sz="0" w:space="0" w:color="auto"/>
        <w:bottom w:val="none" w:sz="0" w:space="0" w:color="auto"/>
        <w:right w:val="none" w:sz="0" w:space="0" w:color="auto"/>
      </w:divBdr>
      <w:divsChild>
        <w:div w:id="1154107096">
          <w:marLeft w:val="0"/>
          <w:marRight w:val="0"/>
          <w:marTop w:val="0"/>
          <w:marBottom w:val="0"/>
          <w:divBdr>
            <w:top w:val="none" w:sz="0" w:space="0" w:color="auto"/>
            <w:left w:val="none" w:sz="0" w:space="0" w:color="auto"/>
            <w:bottom w:val="none" w:sz="0" w:space="0" w:color="auto"/>
            <w:right w:val="none" w:sz="0" w:space="0" w:color="auto"/>
          </w:divBdr>
        </w:div>
      </w:divsChild>
    </w:div>
    <w:div w:id="1743336063">
      <w:bodyDiv w:val="1"/>
      <w:marLeft w:val="0"/>
      <w:marRight w:val="0"/>
      <w:marTop w:val="0"/>
      <w:marBottom w:val="0"/>
      <w:divBdr>
        <w:top w:val="none" w:sz="0" w:space="0" w:color="auto"/>
        <w:left w:val="none" w:sz="0" w:space="0" w:color="auto"/>
        <w:bottom w:val="none" w:sz="0" w:space="0" w:color="auto"/>
        <w:right w:val="none" w:sz="0" w:space="0" w:color="auto"/>
      </w:divBdr>
      <w:divsChild>
        <w:div w:id="1972665862">
          <w:marLeft w:val="0"/>
          <w:marRight w:val="0"/>
          <w:marTop w:val="0"/>
          <w:marBottom w:val="0"/>
          <w:divBdr>
            <w:top w:val="none" w:sz="0" w:space="0" w:color="auto"/>
            <w:left w:val="none" w:sz="0" w:space="0" w:color="auto"/>
            <w:bottom w:val="none" w:sz="0" w:space="0" w:color="auto"/>
            <w:right w:val="none" w:sz="0" w:space="0" w:color="auto"/>
          </w:divBdr>
          <w:divsChild>
            <w:div w:id="17743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5438">
      <w:bodyDiv w:val="1"/>
      <w:marLeft w:val="0"/>
      <w:marRight w:val="0"/>
      <w:marTop w:val="0"/>
      <w:marBottom w:val="0"/>
      <w:divBdr>
        <w:top w:val="none" w:sz="0" w:space="0" w:color="auto"/>
        <w:left w:val="none" w:sz="0" w:space="0" w:color="auto"/>
        <w:bottom w:val="none" w:sz="0" w:space="0" w:color="auto"/>
        <w:right w:val="none" w:sz="0" w:space="0" w:color="auto"/>
      </w:divBdr>
    </w:div>
    <w:div w:id="1795126961">
      <w:bodyDiv w:val="1"/>
      <w:marLeft w:val="0"/>
      <w:marRight w:val="0"/>
      <w:marTop w:val="0"/>
      <w:marBottom w:val="0"/>
      <w:divBdr>
        <w:top w:val="none" w:sz="0" w:space="0" w:color="auto"/>
        <w:left w:val="none" w:sz="0" w:space="0" w:color="auto"/>
        <w:bottom w:val="none" w:sz="0" w:space="0" w:color="auto"/>
        <w:right w:val="none" w:sz="0" w:space="0" w:color="auto"/>
      </w:divBdr>
    </w:div>
    <w:div w:id="1804496437">
      <w:bodyDiv w:val="1"/>
      <w:marLeft w:val="0"/>
      <w:marRight w:val="0"/>
      <w:marTop w:val="0"/>
      <w:marBottom w:val="0"/>
      <w:divBdr>
        <w:top w:val="none" w:sz="0" w:space="0" w:color="auto"/>
        <w:left w:val="none" w:sz="0" w:space="0" w:color="auto"/>
        <w:bottom w:val="none" w:sz="0" w:space="0" w:color="auto"/>
        <w:right w:val="none" w:sz="0" w:space="0" w:color="auto"/>
      </w:divBdr>
      <w:divsChild>
        <w:div w:id="99879307">
          <w:marLeft w:val="0"/>
          <w:marRight w:val="0"/>
          <w:marTop w:val="0"/>
          <w:marBottom w:val="0"/>
          <w:divBdr>
            <w:top w:val="none" w:sz="0" w:space="0" w:color="auto"/>
            <w:left w:val="none" w:sz="0" w:space="0" w:color="auto"/>
            <w:bottom w:val="none" w:sz="0" w:space="0" w:color="auto"/>
            <w:right w:val="none" w:sz="0" w:space="0" w:color="auto"/>
          </w:divBdr>
          <w:divsChild>
            <w:div w:id="1533226538">
              <w:marLeft w:val="0"/>
              <w:marRight w:val="0"/>
              <w:marTop w:val="0"/>
              <w:marBottom w:val="0"/>
              <w:divBdr>
                <w:top w:val="none" w:sz="0" w:space="0" w:color="auto"/>
                <w:left w:val="none" w:sz="0" w:space="0" w:color="auto"/>
                <w:bottom w:val="none" w:sz="0" w:space="0" w:color="auto"/>
                <w:right w:val="none" w:sz="0" w:space="0" w:color="auto"/>
              </w:divBdr>
              <w:divsChild>
                <w:div w:id="10299766">
                  <w:marLeft w:val="0"/>
                  <w:marRight w:val="0"/>
                  <w:marTop w:val="0"/>
                  <w:marBottom w:val="0"/>
                  <w:divBdr>
                    <w:top w:val="none" w:sz="0" w:space="0" w:color="auto"/>
                    <w:left w:val="none" w:sz="0" w:space="0" w:color="auto"/>
                    <w:bottom w:val="none" w:sz="0" w:space="0" w:color="auto"/>
                    <w:right w:val="none" w:sz="0" w:space="0" w:color="auto"/>
                  </w:divBdr>
                  <w:divsChild>
                    <w:div w:id="1939831746">
                      <w:marLeft w:val="0"/>
                      <w:marRight w:val="0"/>
                      <w:marTop w:val="0"/>
                      <w:marBottom w:val="0"/>
                      <w:divBdr>
                        <w:top w:val="none" w:sz="0" w:space="0" w:color="auto"/>
                        <w:left w:val="none" w:sz="0" w:space="0" w:color="auto"/>
                        <w:bottom w:val="none" w:sz="0" w:space="0" w:color="auto"/>
                        <w:right w:val="none" w:sz="0" w:space="0" w:color="auto"/>
                      </w:divBdr>
                    </w:div>
                  </w:divsChild>
                </w:div>
                <w:div w:id="220605527">
                  <w:marLeft w:val="0"/>
                  <w:marRight w:val="0"/>
                  <w:marTop w:val="0"/>
                  <w:marBottom w:val="0"/>
                  <w:divBdr>
                    <w:top w:val="none" w:sz="0" w:space="0" w:color="auto"/>
                    <w:left w:val="none" w:sz="0" w:space="0" w:color="auto"/>
                    <w:bottom w:val="none" w:sz="0" w:space="0" w:color="auto"/>
                    <w:right w:val="none" w:sz="0" w:space="0" w:color="auto"/>
                  </w:divBdr>
                  <w:divsChild>
                    <w:div w:id="225338711">
                      <w:marLeft w:val="0"/>
                      <w:marRight w:val="0"/>
                      <w:marTop w:val="0"/>
                      <w:marBottom w:val="0"/>
                      <w:divBdr>
                        <w:top w:val="none" w:sz="0" w:space="0" w:color="auto"/>
                        <w:left w:val="none" w:sz="0" w:space="0" w:color="auto"/>
                        <w:bottom w:val="none" w:sz="0" w:space="0" w:color="auto"/>
                        <w:right w:val="none" w:sz="0" w:space="0" w:color="auto"/>
                      </w:divBdr>
                      <w:divsChild>
                        <w:div w:id="159852200">
                          <w:marLeft w:val="0"/>
                          <w:marRight w:val="0"/>
                          <w:marTop w:val="0"/>
                          <w:marBottom w:val="0"/>
                          <w:divBdr>
                            <w:top w:val="none" w:sz="0" w:space="0" w:color="auto"/>
                            <w:left w:val="none" w:sz="0" w:space="0" w:color="auto"/>
                            <w:bottom w:val="none" w:sz="0" w:space="0" w:color="auto"/>
                            <w:right w:val="none" w:sz="0" w:space="0" w:color="auto"/>
                          </w:divBdr>
                        </w:div>
                        <w:div w:id="488978546">
                          <w:marLeft w:val="0"/>
                          <w:marRight w:val="0"/>
                          <w:marTop w:val="0"/>
                          <w:marBottom w:val="0"/>
                          <w:divBdr>
                            <w:top w:val="none" w:sz="0" w:space="0" w:color="auto"/>
                            <w:left w:val="none" w:sz="0" w:space="0" w:color="auto"/>
                            <w:bottom w:val="none" w:sz="0" w:space="0" w:color="auto"/>
                            <w:right w:val="none" w:sz="0" w:space="0" w:color="auto"/>
                          </w:divBdr>
                        </w:div>
                        <w:div w:id="506405933">
                          <w:marLeft w:val="0"/>
                          <w:marRight w:val="0"/>
                          <w:marTop w:val="0"/>
                          <w:marBottom w:val="0"/>
                          <w:divBdr>
                            <w:top w:val="none" w:sz="0" w:space="0" w:color="auto"/>
                            <w:left w:val="none" w:sz="0" w:space="0" w:color="auto"/>
                            <w:bottom w:val="none" w:sz="0" w:space="0" w:color="auto"/>
                            <w:right w:val="none" w:sz="0" w:space="0" w:color="auto"/>
                          </w:divBdr>
                        </w:div>
                        <w:div w:id="1531722909">
                          <w:marLeft w:val="0"/>
                          <w:marRight w:val="0"/>
                          <w:marTop w:val="0"/>
                          <w:marBottom w:val="0"/>
                          <w:divBdr>
                            <w:top w:val="none" w:sz="0" w:space="0" w:color="auto"/>
                            <w:left w:val="none" w:sz="0" w:space="0" w:color="auto"/>
                            <w:bottom w:val="none" w:sz="0" w:space="0" w:color="auto"/>
                            <w:right w:val="none" w:sz="0" w:space="0" w:color="auto"/>
                          </w:divBdr>
                        </w:div>
                        <w:div w:id="1597009605">
                          <w:marLeft w:val="0"/>
                          <w:marRight w:val="0"/>
                          <w:marTop w:val="0"/>
                          <w:marBottom w:val="0"/>
                          <w:divBdr>
                            <w:top w:val="none" w:sz="0" w:space="0" w:color="auto"/>
                            <w:left w:val="none" w:sz="0" w:space="0" w:color="auto"/>
                            <w:bottom w:val="none" w:sz="0" w:space="0" w:color="auto"/>
                            <w:right w:val="none" w:sz="0" w:space="0" w:color="auto"/>
                          </w:divBdr>
                        </w:div>
                        <w:div w:id="1657221771">
                          <w:marLeft w:val="0"/>
                          <w:marRight w:val="0"/>
                          <w:marTop w:val="0"/>
                          <w:marBottom w:val="0"/>
                          <w:divBdr>
                            <w:top w:val="none" w:sz="0" w:space="0" w:color="auto"/>
                            <w:left w:val="none" w:sz="0" w:space="0" w:color="auto"/>
                            <w:bottom w:val="none" w:sz="0" w:space="0" w:color="auto"/>
                            <w:right w:val="none" w:sz="0" w:space="0" w:color="auto"/>
                          </w:divBdr>
                        </w:div>
                        <w:div w:id="1681276628">
                          <w:marLeft w:val="0"/>
                          <w:marRight w:val="0"/>
                          <w:marTop w:val="0"/>
                          <w:marBottom w:val="0"/>
                          <w:divBdr>
                            <w:top w:val="none" w:sz="0" w:space="0" w:color="auto"/>
                            <w:left w:val="none" w:sz="0" w:space="0" w:color="auto"/>
                            <w:bottom w:val="none" w:sz="0" w:space="0" w:color="auto"/>
                            <w:right w:val="none" w:sz="0" w:space="0" w:color="auto"/>
                          </w:divBdr>
                        </w:div>
                        <w:div w:id="1935476733">
                          <w:marLeft w:val="0"/>
                          <w:marRight w:val="0"/>
                          <w:marTop w:val="0"/>
                          <w:marBottom w:val="0"/>
                          <w:divBdr>
                            <w:top w:val="none" w:sz="0" w:space="0" w:color="auto"/>
                            <w:left w:val="none" w:sz="0" w:space="0" w:color="auto"/>
                            <w:bottom w:val="none" w:sz="0" w:space="0" w:color="auto"/>
                            <w:right w:val="none" w:sz="0" w:space="0" w:color="auto"/>
                          </w:divBdr>
                        </w:div>
                        <w:div w:id="2069767323">
                          <w:marLeft w:val="0"/>
                          <w:marRight w:val="0"/>
                          <w:marTop w:val="0"/>
                          <w:marBottom w:val="0"/>
                          <w:divBdr>
                            <w:top w:val="none" w:sz="0" w:space="0" w:color="auto"/>
                            <w:left w:val="none" w:sz="0" w:space="0" w:color="auto"/>
                            <w:bottom w:val="none" w:sz="0" w:space="0" w:color="auto"/>
                            <w:right w:val="none" w:sz="0" w:space="0" w:color="auto"/>
                          </w:divBdr>
                        </w:div>
                        <w:div w:id="2081783282">
                          <w:marLeft w:val="0"/>
                          <w:marRight w:val="0"/>
                          <w:marTop w:val="0"/>
                          <w:marBottom w:val="0"/>
                          <w:divBdr>
                            <w:top w:val="none" w:sz="0" w:space="0" w:color="auto"/>
                            <w:left w:val="none" w:sz="0" w:space="0" w:color="auto"/>
                            <w:bottom w:val="none" w:sz="0" w:space="0" w:color="auto"/>
                            <w:right w:val="none" w:sz="0" w:space="0" w:color="auto"/>
                          </w:divBdr>
                        </w:div>
                      </w:divsChild>
                    </w:div>
                    <w:div w:id="1371954039">
                      <w:marLeft w:val="0"/>
                      <w:marRight w:val="0"/>
                      <w:marTop w:val="0"/>
                      <w:marBottom w:val="0"/>
                      <w:divBdr>
                        <w:top w:val="none" w:sz="0" w:space="0" w:color="auto"/>
                        <w:left w:val="none" w:sz="0" w:space="0" w:color="auto"/>
                        <w:bottom w:val="none" w:sz="0" w:space="0" w:color="auto"/>
                        <w:right w:val="none" w:sz="0" w:space="0" w:color="auto"/>
                      </w:divBdr>
                      <w:divsChild>
                        <w:div w:id="317265467">
                          <w:marLeft w:val="0"/>
                          <w:marRight w:val="0"/>
                          <w:marTop w:val="0"/>
                          <w:marBottom w:val="0"/>
                          <w:divBdr>
                            <w:top w:val="none" w:sz="0" w:space="0" w:color="auto"/>
                            <w:left w:val="none" w:sz="0" w:space="0" w:color="auto"/>
                            <w:bottom w:val="none" w:sz="0" w:space="0" w:color="auto"/>
                            <w:right w:val="none" w:sz="0" w:space="0" w:color="auto"/>
                          </w:divBdr>
                        </w:div>
                        <w:div w:id="1354763155">
                          <w:marLeft w:val="0"/>
                          <w:marRight w:val="0"/>
                          <w:marTop w:val="0"/>
                          <w:marBottom w:val="0"/>
                          <w:divBdr>
                            <w:top w:val="none" w:sz="0" w:space="0" w:color="auto"/>
                            <w:left w:val="none" w:sz="0" w:space="0" w:color="auto"/>
                            <w:bottom w:val="none" w:sz="0" w:space="0" w:color="auto"/>
                            <w:right w:val="none" w:sz="0" w:space="0" w:color="auto"/>
                          </w:divBdr>
                        </w:div>
                      </w:divsChild>
                    </w:div>
                    <w:div w:id="1995185840">
                      <w:marLeft w:val="0"/>
                      <w:marRight w:val="0"/>
                      <w:marTop w:val="0"/>
                      <w:marBottom w:val="0"/>
                      <w:divBdr>
                        <w:top w:val="none" w:sz="0" w:space="0" w:color="auto"/>
                        <w:left w:val="none" w:sz="0" w:space="0" w:color="auto"/>
                        <w:bottom w:val="none" w:sz="0" w:space="0" w:color="auto"/>
                        <w:right w:val="none" w:sz="0" w:space="0" w:color="auto"/>
                      </w:divBdr>
                      <w:divsChild>
                        <w:div w:id="13455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1525">
                  <w:marLeft w:val="0"/>
                  <w:marRight w:val="0"/>
                  <w:marTop w:val="0"/>
                  <w:marBottom w:val="0"/>
                  <w:divBdr>
                    <w:top w:val="none" w:sz="0" w:space="0" w:color="auto"/>
                    <w:left w:val="none" w:sz="0" w:space="0" w:color="auto"/>
                    <w:bottom w:val="none" w:sz="0" w:space="0" w:color="auto"/>
                    <w:right w:val="none" w:sz="0" w:space="0" w:color="auto"/>
                  </w:divBdr>
                </w:div>
                <w:div w:id="1844663982">
                  <w:marLeft w:val="0"/>
                  <w:marRight w:val="0"/>
                  <w:marTop w:val="0"/>
                  <w:marBottom w:val="0"/>
                  <w:divBdr>
                    <w:top w:val="none" w:sz="0" w:space="0" w:color="auto"/>
                    <w:left w:val="none" w:sz="0" w:space="0" w:color="auto"/>
                    <w:bottom w:val="none" w:sz="0" w:space="0" w:color="auto"/>
                    <w:right w:val="none" w:sz="0" w:space="0" w:color="auto"/>
                  </w:divBdr>
                  <w:divsChild>
                    <w:div w:id="452401453">
                      <w:marLeft w:val="0"/>
                      <w:marRight w:val="0"/>
                      <w:marTop w:val="0"/>
                      <w:marBottom w:val="0"/>
                      <w:divBdr>
                        <w:top w:val="none" w:sz="0" w:space="0" w:color="auto"/>
                        <w:left w:val="none" w:sz="0" w:space="0" w:color="auto"/>
                        <w:bottom w:val="none" w:sz="0" w:space="0" w:color="auto"/>
                        <w:right w:val="none" w:sz="0" w:space="0" w:color="auto"/>
                      </w:divBdr>
                      <w:divsChild>
                        <w:div w:id="122505418">
                          <w:marLeft w:val="0"/>
                          <w:marRight w:val="0"/>
                          <w:marTop w:val="0"/>
                          <w:marBottom w:val="0"/>
                          <w:divBdr>
                            <w:top w:val="none" w:sz="0" w:space="0" w:color="auto"/>
                            <w:left w:val="none" w:sz="0" w:space="0" w:color="auto"/>
                            <w:bottom w:val="none" w:sz="0" w:space="0" w:color="auto"/>
                            <w:right w:val="none" w:sz="0" w:space="0" w:color="auto"/>
                          </w:divBdr>
                          <w:divsChild>
                            <w:div w:id="692614448">
                              <w:marLeft w:val="0"/>
                              <w:marRight w:val="0"/>
                              <w:marTop w:val="0"/>
                              <w:marBottom w:val="0"/>
                              <w:divBdr>
                                <w:top w:val="none" w:sz="0" w:space="0" w:color="auto"/>
                                <w:left w:val="none" w:sz="0" w:space="0" w:color="auto"/>
                                <w:bottom w:val="none" w:sz="0" w:space="0" w:color="auto"/>
                                <w:right w:val="none" w:sz="0" w:space="0" w:color="auto"/>
                              </w:divBdr>
                            </w:div>
                            <w:div w:id="17469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093">
                      <w:marLeft w:val="0"/>
                      <w:marRight w:val="0"/>
                      <w:marTop w:val="0"/>
                      <w:marBottom w:val="0"/>
                      <w:divBdr>
                        <w:top w:val="none" w:sz="0" w:space="0" w:color="auto"/>
                        <w:left w:val="none" w:sz="0" w:space="0" w:color="auto"/>
                        <w:bottom w:val="none" w:sz="0" w:space="0" w:color="auto"/>
                        <w:right w:val="none" w:sz="0" w:space="0" w:color="auto"/>
                      </w:divBdr>
                      <w:divsChild>
                        <w:div w:id="455415337">
                          <w:marLeft w:val="0"/>
                          <w:marRight w:val="0"/>
                          <w:marTop w:val="0"/>
                          <w:marBottom w:val="0"/>
                          <w:divBdr>
                            <w:top w:val="none" w:sz="0" w:space="0" w:color="auto"/>
                            <w:left w:val="none" w:sz="0" w:space="0" w:color="auto"/>
                            <w:bottom w:val="none" w:sz="0" w:space="0" w:color="auto"/>
                            <w:right w:val="none" w:sz="0" w:space="0" w:color="auto"/>
                          </w:divBdr>
                          <w:divsChild>
                            <w:div w:id="685447737">
                              <w:marLeft w:val="0"/>
                              <w:marRight w:val="0"/>
                              <w:marTop w:val="0"/>
                              <w:marBottom w:val="0"/>
                              <w:divBdr>
                                <w:top w:val="none" w:sz="0" w:space="0" w:color="auto"/>
                                <w:left w:val="none" w:sz="0" w:space="0" w:color="auto"/>
                                <w:bottom w:val="none" w:sz="0" w:space="0" w:color="auto"/>
                                <w:right w:val="none" w:sz="0" w:space="0" w:color="auto"/>
                              </w:divBdr>
                            </w:div>
                            <w:div w:id="111289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728">
          <w:marLeft w:val="0"/>
          <w:marRight w:val="0"/>
          <w:marTop w:val="0"/>
          <w:marBottom w:val="0"/>
          <w:divBdr>
            <w:top w:val="none" w:sz="0" w:space="0" w:color="auto"/>
            <w:left w:val="none" w:sz="0" w:space="0" w:color="auto"/>
            <w:bottom w:val="none" w:sz="0" w:space="0" w:color="auto"/>
            <w:right w:val="none" w:sz="0" w:space="0" w:color="auto"/>
          </w:divBdr>
          <w:divsChild>
            <w:div w:id="791900015">
              <w:marLeft w:val="0"/>
              <w:marRight w:val="0"/>
              <w:marTop w:val="0"/>
              <w:marBottom w:val="0"/>
              <w:divBdr>
                <w:top w:val="none" w:sz="0" w:space="0" w:color="auto"/>
                <w:left w:val="none" w:sz="0" w:space="0" w:color="auto"/>
                <w:bottom w:val="none" w:sz="0" w:space="0" w:color="auto"/>
                <w:right w:val="none" w:sz="0" w:space="0" w:color="auto"/>
              </w:divBdr>
            </w:div>
          </w:divsChild>
        </w:div>
        <w:div w:id="494347117">
          <w:marLeft w:val="0"/>
          <w:marRight w:val="0"/>
          <w:marTop w:val="0"/>
          <w:marBottom w:val="0"/>
          <w:divBdr>
            <w:top w:val="none" w:sz="0" w:space="0" w:color="auto"/>
            <w:left w:val="none" w:sz="0" w:space="0" w:color="auto"/>
            <w:bottom w:val="none" w:sz="0" w:space="0" w:color="auto"/>
            <w:right w:val="none" w:sz="0" w:space="0" w:color="auto"/>
          </w:divBdr>
        </w:div>
        <w:div w:id="561596946">
          <w:marLeft w:val="0"/>
          <w:marRight w:val="0"/>
          <w:marTop w:val="0"/>
          <w:marBottom w:val="0"/>
          <w:divBdr>
            <w:top w:val="none" w:sz="0" w:space="0" w:color="auto"/>
            <w:left w:val="none" w:sz="0" w:space="0" w:color="auto"/>
            <w:bottom w:val="none" w:sz="0" w:space="0" w:color="auto"/>
            <w:right w:val="none" w:sz="0" w:space="0" w:color="auto"/>
          </w:divBdr>
          <w:divsChild>
            <w:div w:id="480654611">
              <w:marLeft w:val="0"/>
              <w:marRight w:val="0"/>
              <w:marTop w:val="0"/>
              <w:marBottom w:val="0"/>
              <w:divBdr>
                <w:top w:val="none" w:sz="0" w:space="0" w:color="auto"/>
                <w:left w:val="none" w:sz="0" w:space="0" w:color="auto"/>
                <w:bottom w:val="none" w:sz="0" w:space="0" w:color="auto"/>
                <w:right w:val="none" w:sz="0" w:space="0" w:color="auto"/>
              </w:divBdr>
              <w:divsChild>
                <w:div w:id="1854951297">
                  <w:marLeft w:val="0"/>
                  <w:marRight w:val="0"/>
                  <w:marTop w:val="0"/>
                  <w:marBottom w:val="0"/>
                  <w:divBdr>
                    <w:top w:val="none" w:sz="0" w:space="0" w:color="auto"/>
                    <w:left w:val="none" w:sz="0" w:space="0" w:color="auto"/>
                    <w:bottom w:val="none" w:sz="0" w:space="0" w:color="auto"/>
                    <w:right w:val="none" w:sz="0" w:space="0" w:color="auto"/>
                  </w:divBdr>
                  <w:divsChild>
                    <w:div w:id="1856731124">
                      <w:marLeft w:val="0"/>
                      <w:marRight w:val="0"/>
                      <w:marTop w:val="0"/>
                      <w:marBottom w:val="0"/>
                      <w:divBdr>
                        <w:top w:val="none" w:sz="0" w:space="0" w:color="auto"/>
                        <w:left w:val="none" w:sz="0" w:space="0" w:color="auto"/>
                        <w:bottom w:val="none" w:sz="0" w:space="0" w:color="auto"/>
                        <w:right w:val="none" w:sz="0" w:space="0" w:color="auto"/>
                      </w:divBdr>
                    </w:div>
                    <w:div w:id="21167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972">
              <w:marLeft w:val="0"/>
              <w:marRight w:val="0"/>
              <w:marTop w:val="0"/>
              <w:marBottom w:val="0"/>
              <w:divBdr>
                <w:top w:val="none" w:sz="0" w:space="0" w:color="auto"/>
                <w:left w:val="none" w:sz="0" w:space="0" w:color="auto"/>
                <w:bottom w:val="none" w:sz="0" w:space="0" w:color="auto"/>
                <w:right w:val="none" w:sz="0" w:space="0" w:color="auto"/>
              </w:divBdr>
              <w:divsChild>
                <w:div w:id="462160803">
                  <w:marLeft w:val="0"/>
                  <w:marRight w:val="0"/>
                  <w:marTop w:val="0"/>
                  <w:marBottom w:val="0"/>
                  <w:divBdr>
                    <w:top w:val="none" w:sz="0" w:space="0" w:color="auto"/>
                    <w:left w:val="none" w:sz="0" w:space="0" w:color="auto"/>
                    <w:bottom w:val="none" w:sz="0" w:space="0" w:color="auto"/>
                    <w:right w:val="none" w:sz="0" w:space="0" w:color="auto"/>
                  </w:divBdr>
                  <w:divsChild>
                    <w:div w:id="1310666685">
                      <w:marLeft w:val="0"/>
                      <w:marRight w:val="0"/>
                      <w:marTop w:val="0"/>
                      <w:marBottom w:val="0"/>
                      <w:divBdr>
                        <w:top w:val="none" w:sz="0" w:space="0" w:color="auto"/>
                        <w:left w:val="none" w:sz="0" w:space="0" w:color="auto"/>
                        <w:bottom w:val="none" w:sz="0" w:space="0" w:color="auto"/>
                        <w:right w:val="none" w:sz="0" w:space="0" w:color="auto"/>
                      </w:divBdr>
                    </w:div>
                    <w:div w:id="214180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39902">
              <w:marLeft w:val="0"/>
              <w:marRight w:val="0"/>
              <w:marTop w:val="0"/>
              <w:marBottom w:val="0"/>
              <w:divBdr>
                <w:top w:val="none" w:sz="0" w:space="0" w:color="auto"/>
                <w:left w:val="none" w:sz="0" w:space="0" w:color="auto"/>
                <w:bottom w:val="none" w:sz="0" w:space="0" w:color="auto"/>
                <w:right w:val="none" w:sz="0" w:space="0" w:color="auto"/>
              </w:divBdr>
              <w:divsChild>
                <w:div w:id="204104269">
                  <w:marLeft w:val="0"/>
                  <w:marRight w:val="0"/>
                  <w:marTop w:val="0"/>
                  <w:marBottom w:val="0"/>
                  <w:divBdr>
                    <w:top w:val="none" w:sz="0" w:space="0" w:color="auto"/>
                    <w:left w:val="none" w:sz="0" w:space="0" w:color="auto"/>
                    <w:bottom w:val="none" w:sz="0" w:space="0" w:color="auto"/>
                    <w:right w:val="none" w:sz="0" w:space="0" w:color="auto"/>
                  </w:divBdr>
                  <w:divsChild>
                    <w:div w:id="943541453">
                      <w:marLeft w:val="0"/>
                      <w:marRight w:val="0"/>
                      <w:marTop w:val="0"/>
                      <w:marBottom w:val="0"/>
                      <w:divBdr>
                        <w:top w:val="none" w:sz="0" w:space="0" w:color="auto"/>
                        <w:left w:val="none" w:sz="0" w:space="0" w:color="auto"/>
                        <w:bottom w:val="none" w:sz="0" w:space="0" w:color="auto"/>
                        <w:right w:val="none" w:sz="0" w:space="0" w:color="auto"/>
                      </w:divBdr>
                    </w:div>
                    <w:div w:id="16785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42347">
          <w:marLeft w:val="0"/>
          <w:marRight w:val="0"/>
          <w:marTop w:val="0"/>
          <w:marBottom w:val="0"/>
          <w:divBdr>
            <w:top w:val="none" w:sz="0" w:space="0" w:color="auto"/>
            <w:left w:val="none" w:sz="0" w:space="0" w:color="auto"/>
            <w:bottom w:val="none" w:sz="0" w:space="0" w:color="auto"/>
            <w:right w:val="none" w:sz="0" w:space="0" w:color="auto"/>
          </w:divBdr>
          <w:divsChild>
            <w:div w:id="1985424101">
              <w:marLeft w:val="0"/>
              <w:marRight w:val="0"/>
              <w:marTop w:val="0"/>
              <w:marBottom w:val="0"/>
              <w:divBdr>
                <w:top w:val="none" w:sz="0" w:space="0" w:color="auto"/>
                <w:left w:val="none" w:sz="0" w:space="0" w:color="auto"/>
                <w:bottom w:val="none" w:sz="0" w:space="0" w:color="auto"/>
                <w:right w:val="none" w:sz="0" w:space="0" w:color="auto"/>
              </w:divBdr>
            </w:div>
          </w:divsChild>
        </w:div>
        <w:div w:id="648753228">
          <w:marLeft w:val="0"/>
          <w:marRight w:val="0"/>
          <w:marTop w:val="0"/>
          <w:marBottom w:val="0"/>
          <w:divBdr>
            <w:top w:val="none" w:sz="0" w:space="0" w:color="auto"/>
            <w:left w:val="none" w:sz="0" w:space="0" w:color="auto"/>
            <w:bottom w:val="none" w:sz="0" w:space="0" w:color="auto"/>
            <w:right w:val="none" w:sz="0" w:space="0" w:color="auto"/>
          </w:divBdr>
        </w:div>
        <w:div w:id="1020624183">
          <w:marLeft w:val="0"/>
          <w:marRight w:val="0"/>
          <w:marTop w:val="0"/>
          <w:marBottom w:val="0"/>
          <w:divBdr>
            <w:top w:val="none" w:sz="0" w:space="0" w:color="auto"/>
            <w:left w:val="none" w:sz="0" w:space="0" w:color="auto"/>
            <w:bottom w:val="none" w:sz="0" w:space="0" w:color="auto"/>
            <w:right w:val="none" w:sz="0" w:space="0" w:color="auto"/>
          </w:divBdr>
          <w:divsChild>
            <w:div w:id="1047946962">
              <w:marLeft w:val="0"/>
              <w:marRight w:val="0"/>
              <w:marTop w:val="0"/>
              <w:marBottom w:val="0"/>
              <w:divBdr>
                <w:top w:val="none" w:sz="0" w:space="0" w:color="auto"/>
                <w:left w:val="none" w:sz="0" w:space="0" w:color="auto"/>
                <w:bottom w:val="none" w:sz="0" w:space="0" w:color="auto"/>
                <w:right w:val="none" w:sz="0" w:space="0" w:color="auto"/>
              </w:divBdr>
            </w:div>
          </w:divsChild>
        </w:div>
        <w:div w:id="1075082562">
          <w:marLeft w:val="0"/>
          <w:marRight w:val="0"/>
          <w:marTop w:val="0"/>
          <w:marBottom w:val="0"/>
          <w:divBdr>
            <w:top w:val="none" w:sz="0" w:space="0" w:color="auto"/>
            <w:left w:val="none" w:sz="0" w:space="0" w:color="auto"/>
            <w:bottom w:val="none" w:sz="0" w:space="0" w:color="auto"/>
            <w:right w:val="none" w:sz="0" w:space="0" w:color="auto"/>
          </w:divBdr>
          <w:divsChild>
            <w:div w:id="388529906">
              <w:marLeft w:val="0"/>
              <w:marRight w:val="0"/>
              <w:marTop w:val="0"/>
              <w:marBottom w:val="0"/>
              <w:divBdr>
                <w:top w:val="none" w:sz="0" w:space="0" w:color="auto"/>
                <w:left w:val="none" w:sz="0" w:space="0" w:color="auto"/>
                <w:bottom w:val="none" w:sz="0" w:space="0" w:color="auto"/>
                <w:right w:val="none" w:sz="0" w:space="0" w:color="auto"/>
              </w:divBdr>
            </w:div>
            <w:div w:id="1520317457">
              <w:marLeft w:val="0"/>
              <w:marRight w:val="0"/>
              <w:marTop w:val="0"/>
              <w:marBottom w:val="0"/>
              <w:divBdr>
                <w:top w:val="none" w:sz="0" w:space="0" w:color="auto"/>
                <w:left w:val="none" w:sz="0" w:space="0" w:color="auto"/>
                <w:bottom w:val="none" w:sz="0" w:space="0" w:color="auto"/>
                <w:right w:val="none" w:sz="0" w:space="0" w:color="auto"/>
              </w:divBdr>
            </w:div>
          </w:divsChild>
        </w:div>
        <w:div w:id="1079060361">
          <w:marLeft w:val="0"/>
          <w:marRight w:val="0"/>
          <w:marTop w:val="0"/>
          <w:marBottom w:val="0"/>
          <w:divBdr>
            <w:top w:val="none" w:sz="0" w:space="0" w:color="auto"/>
            <w:left w:val="none" w:sz="0" w:space="0" w:color="auto"/>
            <w:bottom w:val="none" w:sz="0" w:space="0" w:color="auto"/>
            <w:right w:val="none" w:sz="0" w:space="0" w:color="auto"/>
          </w:divBdr>
          <w:divsChild>
            <w:div w:id="566577216">
              <w:marLeft w:val="0"/>
              <w:marRight w:val="0"/>
              <w:marTop w:val="0"/>
              <w:marBottom w:val="0"/>
              <w:divBdr>
                <w:top w:val="none" w:sz="0" w:space="0" w:color="auto"/>
                <w:left w:val="none" w:sz="0" w:space="0" w:color="auto"/>
                <w:bottom w:val="none" w:sz="0" w:space="0" w:color="auto"/>
                <w:right w:val="none" w:sz="0" w:space="0" w:color="auto"/>
              </w:divBdr>
              <w:divsChild>
                <w:div w:id="1908875847">
                  <w:marLeft w:val="0"/>
                  <w:marRight w:val="0"/>
                  <w:marTop w:val="0"/>
                  <w:marBottom w:val="0"/>
                  <w:divBdr>
                    <w:top w:val="none" w:sz="0" w:space="0" w:color="auto"/>
                    <w:left w:val="none" w:sz="0" w:space="0" w:color="auto"/>
                    <w:bottom w:val="none" w:sz="0" w:space="0" w:color="auto"/>
                    <w:right w:val="none" w:sz="0" w:space="0" w:color="auto"/>
                  </w:divBdr>
                  <w:divsChild>
                    <w:div w:id="820658132">
                      <w:marLeft w:val="0"/>
                      <w:marRight w:val="0"/>
                      <w:marTop w:val="0"/>
                      <w:marBottom w:val="0"/>
                      <w:divBdr>
                        <w:top w:val="none" w:sz="0" w:space="0" w:color="auto"/>
                        <w:left w:val="none" w:sz="0" w:space="0" w:color="auto"/>
                        <w:bottom w:val="none" w:sz="0" w:space="0" w:color="auto"/>
                        <w:right w:val="none" w:sz="0" w:space="0" w:color="auto"/>
                      </w:divBdr>
                    </w:div>
                    <w:div w:id="11687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787">
              <w:marLeft w:val="0"/>
              <w:marRight w:val="0"/>
              <w:marTop w:val="0"/>
              <w:marBottom w:val="0"/>
              <w:divBdr>
                <w:top w:val="none" w:sz="0" w:space="0" w:color="auto"/>
                <w:left w:val="none" w:sz="0" w:space="0" w:color="auto"/>
                <w:bottom w:val="none" w:sz="0" w:space="0" w:color="auto"/>
                <w:right w:val="none" w:sz="0" w:space="0" w:color="auto"/>
              </w:divBdr>
              <w:divsChild>
                <w:div w:id="1085347222">
                  <w:marLeft w:val="0"/>
                  <w:marRight w:val="0"/>
                  <w:marTop w:val="0"/>
                  <w:marBottom w:val="0"/>
                  <w:divBdr>
                    <w:top w:val="none" w:sz="0" w:space="0" w:color="auto"/>
                    <w:left w:val="none" w:sz="0" w:space="0" w:color="auto"/>
                    <w:bottom w:val="none" w:sz="0" w:space="0" w:color="auto"/>
                    <w:right w:val="none" w:sz="0" w:space="0" w:color="auto"/>
                  </w:divBdr>
                  <w:divsChild>
                    <w:div w:id="751313887">
                      <w:marLeft w:val="0"/>
                      <w:marRight w:val="0"/>
                      <w:marTop w:val="0"/>
                      <w:marBottom w:val="0"/>
                      <w:divBdr>
                        <w:top w:val="none" w:sz="0" w:space="0" w:color="auto"/>
                        <w:left w:val="none" w:sz="0" w:space="0" w:color="auto"/>
                        <w:bottom w:val="none" w:sz="0" w:space="0" w:color="auto"/>
                        <w:right w:val="none" w:sz="0" w:space="0" w:color="auto"/>
                      </w:divBdr>
                    </w:div>
                    <w:div w:id="172860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6457">
              <w:marLeft w:val="0"/>
              <w:marRight w:val="0"/>
              <w:marTop w:val="0"/>
              <w:marBottom w:val="0"/>
              <w:divBdr>
                <w:top w:val="none" w:sz="0" w:space="0" w:color="auto"/>
                <w:left w:val="none" w:sz="0" w:space="0" w:color="auto"/>
                <w:bottom w:val="none" w:sz="0" w:space="0" w:color="auto"/>
                <w:right w:val="none" w:sz="0" w:space="0" w:color="auto"/>
              </w:divBdr>
              <w:divsChild>
                <w:div w:id="7755982">
                  <w:marLeft w:val="0"/>
                  <w:marRight w:val="0"/>
                  <w:marTop w:val="0"/>
                  <w:marBottom w:val="0"/>
                  <w:divBdr>
                    <w:top w:val="none" w:sz="0" w:space="0" w:color="auto"/>
                    <w:left w:val="none" w:sz="0" w:space="0" w:color="auto"/>
                    <w:bottom w:val="none" w:sz="0" w:space="0" w:color="auto"/>
                    <w:right w:val="none" w:sz="0" w:space="0" w:color="auto"/>
                  </w:divBdr>
                  <w:divsChild>
                    <w:div w:id="556286213">
                      <w:marLeft w:val="0"/>
                      <w:marRight w:val="0"/>
                      <w:marTop w:val="0"/>
                      <w:marBottom w:val="0"/>
                      <w:divBdr>
                        <w:top w:val="none" w:sz="0" w:space="0" w:color="auto"/>
                        <w:left w:val="none" w:sz="0" w:space="0" w:color="auto"/>
                        <w:bottom w:val="none" w:sz="0" w:space="0" w:color="auto"/>
                        <w:right w:val="none" w:sz="0" w:space="0" w:color="auto"/>
                      </w:divBdr>
                    </w:div>
                    <w:div w:id="15442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2545">
          <w:marLeft w:val="0"/>
          <w:marRight w:val="0"/>
          <w:marTop w:val="0"/>
          <w:marBottom w:val="0"/>
          <w:divBdr>
            <w:top w:val="none" w:sz="0" w:space="0" w:color="auto"/>
            <w:left w:val="none" w:sz="0" w:space="0" w:color="auto"/>
            <w:bottom w:val="none" w:sz="0" w:space="0" w:color="auto"/>
            <w:right w:val="none" w:sz="0" w:space="0" w:color="auto"/>
          </w:divBdr>
          <w:divsChild>
            <w:div w:id="627010462">
              <w:marLeft w:val="0"/>
              <w:marRight w:val="0"/>
              <w:marTop w:val="0"/>
              <w:marBottom w:val="0"/>
              <w:divBdr>
                <w:top w:val="none" w:sz="0" w:space="0" w:color="auto"/>
                <w:left w:val="none" w:sz="0" w:space="0" w:color="auto"/>
                <w:bottom w:val="none" w:sz="0" w:space="0" w:color="auto"/>
                <w:right w:val="none" w:sz="0" w:space="0" w:color="auto"/>
              </w:divBdr>
              <w:divsChild>
                <w:div w:id="724136152">
                  <w:marLeft w:val="0"/>
                  <w:marRight w:val="0"/>
                  <w:marTop w:val="0"/>
                  <w:marBottom w:val="0"/>
                  <w:divBdr>
                    <w:top w:val="none" w:sz="0" w:space="0" w:color="auto"/>
                    <w:left w:val="none" w:sz="0" w:space="0" w:color="auto"/>
                    <w:bottom w:val="none" w:sz="0" w:space="0" w:color="auto"/>
                    <w:right w:val="none" w:sz="0" w:space="0" w:color="auto"/>
                  </w:divBdr>
                  <w:divsChild>
                    <w:div w:id="913441704">
                      <w:marLeft w:val="0"/>
                      <w:marRight w:val="0"/>
                      <w:marTop w:val="0"/>
                      <w:marBottom w:val="0"/>
                      <w:divBdr>
                        <w:top w:val="none" w:sz="0" w:space="0" w:color="auto"/>
                        <w:left w:val="none" w:sz="0" w:space="0" w:color="auto"/>
                        <w:bottom w:val="none" w:sz="0" w:space="0" w:color="auto"/>
                        <w:right w:val="none" w:sz="0" w:space="0" w:color="auto"/>
                      </w:divBdr>
                    </w:div>
                    <w:div w:id="13364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59663">
              <w:marLeft w:val="0"/>
              <w:marRight w:val="0"/>
              <w:marTop w:val="0"/>
              <w:marBottom w:val="0"/>
              <w:divBdr>
                <w:top w:val="none" w:sz="0" w:space="0" w:color="auto"/>
                <w:left w:val="none" w:sz="0" w:space="0" w:color="auto"/>
                <w:bottom w:val="none" w:sz="0" w:space="0" w:color="auto"/>
                <w:right w:val="none" w:sz="0" w:space="0" w:color="auto"/>
              </w:divBdr>
              <w:divsChild>
                <w:div w:id="309988222">
                  <w:marLeft w:val="0"/>
                  <w:marRight w:val="0"/>
                  <w:marTop w:val="0"/>
                  <w:marBottom w:val="0"/>
                  <w:divBdr>
                    <w:top w:val="none" w:sz="0" w:space="0" w:color="auto"/>
                    <w:left w:val="none" w:sz="0" w:space="0" w:color="auto"/>
                    <w:bottom w:val="none" w:sz="0" w:space="0" w:color="auto"/>
                    <w:right w:val="none" w:sz="0" w:space="0" w:color="auto"/>
                  </w:divBdr>
                  <w:divsChild>
                    <w:div w:id="1172111493">
                      <w:marLeft w:val="0"/>
                      <w:marRight w:val="0"/>
                      <w:marTop w:val="0"/>
                      <w:marBottom w:val="0"/>
                      <w:divBdr>
                        <w:top w:val="none" w:sz="0" w:space="0" w:color="auto"/>
                        <w:left w:val="none" w:sz="0" w:space="0" w:color="auto"/>
                        <w:bottom w:val="none" w:sz="0" w:space="0" w:color="auto"/>
                        <w:right w:val="none" w:sz="0" w:space="0" w:color="auto"/>
                      </w:divBdr>
                    </w:div>
                    <w:div w:id="19510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06904">
          <w:marLeft w:val="0"/>
          <w:marRight w:val="0"/>
          <w:marTop w:val="0"/>
          <w:marBottom w:val="0"/>
          <w:divBdr>
            <w:top w:val="none" w:sz="0" w:space="0" w:color="auto"/>
            <w:left w:val="none" w:sz="0" w:space="0" w:color="auto"/>
            <w:bottom w:val="none" w:sz="0" w:space="0" w:color="auto"/>
            <w:right w:val="none" w:sz="0" w:space="0" w:color="auto"/>
          </w:divBdr>
        </w:div>
        <w:div w:id="1860391461">
          <w:marLeft w:val="0"/>
          <w:marRight w:val="0"/>
          <w:marTop w:val="0"/>
          <w:marBottom w:val="0"/>
          <w:divBdr>
            <w:top w:val="none" w:sz="0" w:space="0" w:color="auto"/>
            <w:left w:val="none" w:sz="0" w:space="0" w:color="auto"/>
            <w:bottom w:val="none" w:sz="0" w:space="0" w:color="auto"/>
            <w:right w:val="none" w:sz="0" w:space="0" w:color="auto"/>
          </w:divBdr>
          <w:divsChild>
            <w:div w:id="2124377362">
              <w:marLeft w:val="0"/>
              <w:marRight w:val="0"/>
              <w:marTop w:val="0"/>
              <w:marBottom w:val="0"/>
              <w:divBdr>
                <w:top w:val="none" w:sz="0" w:space="0" w:color="auto"/>
                <w:left w:val="none" w:sz="0" w:space="0" w:color="auto"/>
                <w:bottom w:val="none" w:sz="0" w:space="0" w:color="auto"/>
                <w:right w:val="none" w:sz="0" w:space="0" w:color="auto"/>
              </w:divBdr>
              <w:divsChild>
                <w:div w:id="90317595">
                  <w:marLeft w:val="0"/>
                  <w:marRight w:val="0"/>
                  <w:marTop w:val="0"/>
                  <w:marBottom w:val="0"/>
                  <w:divBdr>
                    <w:top w:val="none" w:sz="0" w:space="0" w:color="auto"/>
                    <w:left w:val="none" w:sz="0" w:space="0" w:color="auto"/>
                    <w:bottom w:val="none" w:sz="0" w:space="0" w:color="auto"/>
                    <w:right w:val="none" w:sz="0" w:space="0" w:color="auto"/>
                  </w:divBdr>
                </w:div>
                <w:div w:id="239944286">
                  <w:marLeft w:val="0"/>
                  <w:marRight w:val="0"/>
                  <w:marTop w:val="0"/>
                  <w:marBottom w:val="0"/>
                  <w:divBdr>
                    <w:top w:val="none" w:sz="0" w:space="0" w:color="auto"/>
                    <w:left w:val="none" w:sz="0" w:space="0" w:color="auto"/>
                    <w:bottom w:val="none" w:sz="0" w:space="0" w:color="auto"/>
                    <w:right w:val="none" w:sz="0" w:space="0" w:color="auto"/>
                  </w:divBdr>
                </w:div>
                <w:div w:id="358698096">
                  <w:marLeft w:val="0"/>
                  <w:marRight w:val="0"/>
                  <w:marTop w:val="0"/>
                  <w:marBottom w:val="0"/>
                  <w:divBdr>
                    <w:top w:val="none" w:sz="0" w:space="0" w:color="auto"/>
                    <w:left w:val="none" w:sz="0" w:space="0" w:color="auto"/>
                    <w:bottom w:val="none" w:sz="0" w:space="0" w:color="auto"/>
                    <w:right w:val="none" w:sz="0" w:space="0" w:color="auto"/>
                  </w:divBdr>
                </w:div>
                <w:div w:id="542912213">
                  <w:marLeft w:val="0"/>
                  <w:marRight w:val="0"/>
                  <w:marTop w:val="0"/>
                  <w:marBottom w:val="0"/>
                  <w:divBdr>
                    <w:top w:val="none" w:sz="0" w:space="0" w:color="auto"/>
                    <w:left w:val="none" w:sz="0" w:space="0" w:color="auto"/>
                    <w:bottom w:val="none" w:sz="0" w:space="0" w:color="auto"/>
                    <w:right w:val="none" w:sz="0" w:space="0" w:color="auto"/>
                  </w:divBdr>
                </w:div>
                <w:div w:id="660086419">
                  <w:marLeft w:val="0"/>
                  <w:marRight w:val="0"/>
                  <w:marTop w:val="0"/>
                  <w:marBottom w:val="0"/>
                  <w:divBdr>
                    <w:top w:val="none" w:sz="0" w:space="0" w:color="auto"/>
                    <w:left w:val="none" w:sz="0" w:space="0" w:color="auto"/>
                    <w:bottom w:val="none" w:sz="0" w:space="0" w:color="auto"/>
                    <w:right w:val="none" w:sz="0" w:space="0" w:color="auto"/>
                  </w:divBdr>
                </w:div>
                <w:div w:id="865561975">
                  <w:marLeft w:val="0"/>
                  <w:marRight w:val="0"/>
                  <w:marTop w:val="0"/>
                  <w:marBottom w:val="0"/>
                  <w:divBdr>
                    <w:top w:val="none" w:sz="0" w:space="0" w:color="auto"/>
                    <w:left w:val="none" w:sz="0" w:space="0" w:color="auto"/>
                    <w:bottom w:val="none" w:sz="0" w:space="0" w:color="auto"/>
                    <w:right w:val="none" w:sz="0" w:space="0" w:color="auto"/>
                  </w:divBdr>
                </w:div>
                <w:div w:id="1235238567">
                  <w:marLeft w:val="0"/>
                  <w:marRight w:val="0"/>
                  <w:marTop w:val="0"/>
                  <w:marBottom w:val="0"/>
                  <w:divBdr>
                    <w:top w:val="none" w:sz="0" w:space="0" w:color="auto"/>
                    <w:left w:val="none" w:sz="0" w:space="0" w:color="auto"/>
                    <w:bottom w:val="none" w:sz="0" w:space="0" w:color="auto"/>
                    <w:right w:val="none" w:sz="0" w:space="0" w:color="auto"/>
                  </w:divBdr>
                </w:div>
                <w:div w:id="1620450683">
                  <w:marLeft w:val="0"/>
                  <w:marRight w:val="0"/>
                  <w:marTop w:val="0"/>
                  <w:marBottom w:val="0"/>
                  <w:divBdr>
                    <w:top w:val="none" w:sz="0" w:space="0" w:color="auto"/>
                    <w:left w:val="none" w:sz="0" w:space="0" w:color="auto"/>
                    <w:bottom w:val="none" w:sz="0" w:space="0" w:color="auto"/>
                    <w:right w:val="none" w:sz="0" w:space="0" w:color="auto"/>
                  </w:divBdr>
                </w:div>
                <w:div w:id="21054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8537">
          <w:marLeft w:val="0"/>
          <w:marRight w:val="0"/>
          <w:marTop w:val="0"/>
          <w:marBottom w:val="0"/>
          <w:divBdr>
            <w:top w:val="none" w:sz="0" w:space="0" w:color="auto"/>
            <w:left w:val="none" w:sz="0" w:space="0" w:color="auto"/>
            <w:bottom w:val="none" w:sz="0" w:space="0" w:color="auto"/>
            <w:right w:val="none" w:sz="0" w:space="0" w:color="auto"/>
          </w:divBdr>
        </w:div>
      </w:divsChild>
    </w:div>
    <w:div w:id="1815633975">
      <w:bodyDiv w:val="1"/>
      <w:marLeft w:val="0"/>
      <w:marRight w:val="0"/>
      <w:marTop w:val="0"/>
      <w:marBottom w:val="0"/>
      <w:divBdr>
        <w:top w:val="none" w:sz="0" w:space="0" w:color="auto"/>
        <w:left w:val="none" w:sz="0" w:space="0" w:color="auto"/>
        <w:bottom w:val="none" w:sz="0" w:space="0" w:color="auto"/>
        <w:right w:val="none" w:sz="0" w:space="0" w:color="auto"/>
      </w:divBdr>
    </w:div>
    <w:div w:id="1915506024">
      <w:bodyDiv w:val="1"/>
      <w:marLeft w:val="0"/>
      <w:marRight w:val="0"/>
      <w:marTop w:val="0"/>
      <w:marBottom w:val="0"/>
      <w:divBdr>
        <w:top w:val="none" w:sz="0" w:space="0" w:color="auto"/>
        <w:left w:val="none" w:sz="0" w:space="0" w:color="auto"/>
        <w:bottom w:val="none" w:sz="0" w:space="0" w:color="auto"/>
        <w:right w:val="none" w:sz="0" w:space="0" w:color="auto"/>
      </w:divBdr>
    </w:div>
    <w:div w:id="2048797386">
      <w:bodyDiv w:val="1"/>
      <w:marLeft w:val="0"/>
      <w:marRight w:val="0"/>
      <w:marTop w:val="0"/>
      <w:marBottom w:val="0"/>
      <w:divBdr>
        <w:top w:val="none" w:sz="0" w:space="0" w:color="auto"/>
        <w:left w:val="none" w:sz="0" w:space="0" w:color="auto"/>
        <w:bottom w:val="none" w:sz="0" w:space="0" w:color="auto"/>
        <w:right w:val="none" w:sz="0" w:space="0" w:color="auto"/>
      </w:divBdr>
      <w:divsChild>
        <w:div w:id="1101799439">
          <w:marLeft w:val="0"/>
          <w:marRight w:val="0"/>
          <w:marTop w:val="0"/>
          <w:marBottom w:val="0"/>
          <w:divBdr>
            <w:top w:val="none" w:sz="0" w:space="0" w:color="auto"/>
            <w:left w:val="none" w:sz="0" w:space="0" w:color="auto"/>
            <w:bottom w:val="none" w:sz="0" w:space="0" w:color="auto"/>
            <w:right w:val="none" w:sz="0" w:space="0" w:color="auto"/>
          </w:divBdr>
          <w:divsChild>
            <w:div w:id="12613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 /><Relationship Id="rId13" Type="http://schemas.openxmlformats.org/officeDocument/2006/relationships/image" Target="https://www.mstrust.org.uk/sites/default/files/relapsing_remitting_ms_graph.jpg" TargetMode="External" /><Relationship Id="rId18" Type="http://schemas.openxmlformats.org/officeDocument/2006/relationships/hyperlink" Target="https://pdfs.semanticscholar.org/866a/959d88a224883f7e9dd5ddbec31017f36bac.pdf" TargetMode="External" /><Relationship Id="rId26"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hyperlink" Target="https://www.ncbi.nlm.nih.gov/books/NBK442010/" TargetMode="External" /><Relationship Id="rId7" Type="http://schemas.openxmlformats.org/officeDocument/2006/relationships/image" Target="media/image1.wmf" /><Relationship Id="rId12" Type="http://schemas.openxmlformats.org/officeDocument/2006/relationships/image" Target="media/image5.jpeg" /><Relationship Id="rId17" Type="http://schemas.openxmlformats.org/officeDocument/2006/relationships/hyperlink" Target="https://www.mstrust.org.uk/about-ms/what-ms/types-ms" TargetMode="External" /><Relationship Id="rId25"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https://www.mstrust.org.uk/sites/default/files/primary_progressing_ms_graph.jpg" TargetMode="External" /><Relationship Id="rId20" Type="http://schemas.openxmlformats.org/officeDocument/2006/relationships/hyperlink" Target="https://doi.org/10.1371/journal.pone.0222731"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https://www.news-medical.net/image.axd?picture=2016%2f8%2fMultiple_Sclerosis_shutterstock_239380201.jpg" TargetMode="External" /><Relationship Id="rId24"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hyperlink" Target="https://www.researchgate.net/publication/336838788" TargetMode="External" /><Relationship Id="rId10" Type="http://schemas.openxmlformats.org/officeDocument/2006/relationships/image" Target="media/image4.jpeg" /><Relationship Id="rId19" Type="http://schemas.openxmlformats.org/officeDocument/2006/relationships/hyperlink" Target="http://ecommons.aku.edu/pjns/vol10/iss2/9"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hyperlink" Target="https://www.mstrust.org.uk/about-ms/what-ms/types-ms" TargetMode="External" /><Relationship Id="rId22" Type="http://schemas.openxmlformats.org/officeDocument/2006/relationships/hyperlink" Target="https://www.ncbi.nlm.nih.gov/books/NBK499849/" TargetMode="Externa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89</Pages>
  <Words>29511</Words>
  <Characters>159363</Characters>
  <Application>Microsoft Office Word</Application>
  <DocSecurity>0</DocSecurity>
  <Lines>1328</Lines>
  <Paragraphs>376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188498</CharactersWithSpaces>
  <SharedDoc>false</SharedDoc>
  <HLinks>
    <vt:vector size="396" baseType="variant">
      <vt:variant>
        <vt:i4>6815857</vt:i4>
      </vt:variant>
      <vt:variant>
        <vt:i4>402</vt:i4>
      </vt:variant>
      <vt:variant>
        <vt:i4>0</vt:i4>
      </vt:variant>
      <vt:variant>
        <vt:i4>5</vt:i4>
      </vt:variant>
      <vt:variant>
        <vt:lpwstr>https://www.researchgate.net/publication/336838788</vt:lpwstr>
      </vt:variant>
      <vt:variant>
        <vt:lpwstr/>
      </vt:variant>
      <vt:variant>
        <vt:i4>1376343</vt:i4>
      </vt:variant>
      <vt:variant>
        <vt:i4>399</vt:i4>
      </vt:variant>
      <vt:variant>
        <vt:i4>0</vt:i4>
      </vt:variant>
      <vt:variant>
        <vt:i4>5</vt:i4>
      </vt:variant>
      <vt:variant>
        <vt:lpwstr>https://www.ncbi.nlm.nih.gov/books/NBK499849/</vt:lpwstr>
      </vt:variant>
      <vt:variant>
        <vt:lpwstr/>
      </vt:variant>
      <vt:variant>
        <vt:i4>1638489</vt:i4>
      </vt:variant>
      <vt:variant>
        <vt:i4>396</vt:i4>
      </vt:variant>
      <vt:variant>
        <vt:i4>0</vt:i4>
      </vt:variant>
      <vt:variant>
        <vt:i4>5</vt:i4>
      </vt:variant>
      <vt:variant>
        <vt:lpwstr>https://www.ncbi.nlm.nih.gov/books/NBK442010/</vt:lpwstr>
      </vt:variant>
      <vt:variant>
        <vt:lpwstr/>
      </vt:variant>
      <vt:variant>
        <vt:i4>4718662</vt:i4>
      </vt:variant>
      <vt:variant>
        <vt:i4>393</vt:i4>
      </vt:variant>
      <vt:variant>
        <vt:i4>0</vt:i4>
      </vt:variant>
      <vt:variant>
        <vt:i4>5</vt:i4>
      </vt:variant>
      <vt:variant>
        <vt:lpwstr>https://doi.org/10.1371/journal.pone.0222731</vt:lpwstr>
      </vt:variant>
      <vt:variant>
        <vt:lpwstr/>
      </vt:variant>
      <vt:variant>
        <vt:i4>262174</vt:i4>
      </vt:variant>
      <vt:variant>
        <vt:i4>390</vt:i4>
      </vt:variant>
      <vt:variant>
        <vt:i4>0</vt:i4>
      </vt:variant>
      <vt:variant>
        <vt:i4>5</vt:i4>
      </vt:variant>
      <vt:variant>
        <vt:lpwstr>http://ecommons.aku.edu/pjns/vol10/iss2/9</vt:lpwstr>
      </vt:variant>
      <vt:variant>
        <vt:lpwstr/>
      </vt:variant>
      <vt:variant>
        <vt:i4>2555958</vt:i4>
      </vt:variant>
      <vt:variant>
        <vt:i4>387</vt:i4>
      </vt:variant>
      <vt:variant>
        <vt:i4>0</vt:i4>
      </vt:variant>
      <vt:variant>
        <vt:i4>5</vt:i4>
      </vt:variant>
      <vt:variant>
        <vt:lpwstr>https://pdfs.semanticscholar.org/866a/959d88a224883f7e9dd5ddbec31017f36bac.pdf</vt:lpwstr>
      </vt:variant>
      <vt:variant>
        <vt:lpwstr/>
      </vt:variant>
      <vt:variant>
        <vt:i4>458769</vt:i4>
      </vt:variant>
      <vt:variant>
        <vt:i4>381</vt:i4>
      </vt:variant>
      <vt:variant>
        <vt:i4>0</vt:i4>
      </vt:variant>
      <vt:variant>
        <vt:i4>5</vt:i4>
      </vt:variant>
      <vt:variant>
        <vt:lpwstr>https://www.mstrust.org.uk/about-ms/what-ms/types-ms</vt:lpwstr>
      </vt:variant>
      <vt:variant>
        <vt:lpwstr/>
      </vt:variant>
      <vt:variant>
        <vt:i4>458769</vt:i4>
      </vt:variant>
      <vt:variant>
        <vt:i4>372</vt:i4>
      </vt:variant>
      <vt:variant>
        <vt:i4>0</vt:i4>
      </vt:variant>
      <vt:variant>
        <vt:i4>5</vt:i4>
      </vt:variant>
      <vt:variant>
        <vt:lpwstr>https://www.mstrust.org.uk/about-ms/what-ms/types-ms</vt:lpwstr>
      </vt:variant>
      <vt:variant>
        <vt:lpwstr/>
      </vt:variant>
      <vt:variant>
        <vt:i4>1114160</vt:i4>
      </vt:variant>
      <vt:variant>
        <vt:i4>350</vt:i4>
      </vt:variant>
      <vt:variant>
        <vt:i4>0</vt:i4>
      </vt:variant>
      <vt:variant>
        <vt:i4>5</vt:i4>
      </vt:variant>
      <vt:variant>
        <vt:lpwstr/>
      </vt:variant>
      <vt:variant>
        <vt:lpwstr>_Toc57241663</vt:lpwstr>
      </vt:variant>
      <vt:variant>
        <vt:i4>1048624</vt:i4>
      </vt:variant>
      <vt:variant>
        <vt:i4>341</vt:i4>
      </vt:variant>
      <vt:variant>
        <vt:i4>0</vt:i4>
      </vt:variant>
      <vt:variant>
        <vt:i4>5</vt:i4>
      </vt:variant>
      <vt:variant>
        <vt:lpwstr/>
      </vt:variant>
      <vt:variant>
        <vt:lpwstr>_Toc57241662</vt:lpwstr>
      </vt:variant>
      <vt:variant>
        <vt:i4>1245232</vt:i4>
      </vt:variant>
      <vt:variant>
        <vt:i4>335</vt:i4>
      </vt:variant>
      <vt:variant>
        <vt:i4>0</vt:i4>
      </vt:variant>
      <vt:variant>
        <vt:i4>5</vt:i4>
      </vt:variant>
      <vt:variant>
        <vt:lpwstr/>
      </vt:variant>
      <vt:variant>
        <vt:lpwstr>_Toc57241661</vt:lpwstr>
      </vt:variant>
      <vt:variant>
        <vt:i4>1179696</vt:i4>
      </vt:variant>
      <vt:variant>
        <vt:i4>329</vt:i4>
      </vt:variant>
      <vt:variant>
        <vt:i4>0</vt:i4>
      </vt:variant>
      <vt:variant>
        <vt:i4>5</vt:i4>
      </vt:variant>
      <vt:variant>
        <vt:lpwstr/>
      </vt:variant>
      <vt:variant>
        <vt:lpwstr>_Toc57241660</vt:lpwstr>
      </vt:variant>
      <vt:variant>
        <vt:i4>1769523</vt:i4>
      </vt:variant>
      <vt:variant>
        <vt:i4>323</vt:i4>
      </vt:variant>
      <vt:variant>
        <vt:i4>0</vt:i4>
      </vt:variant>
      <vt:variant>
        <vt:i4>5</vt:i4>
      </vt:variant>
      <vt:variant>
        <vt:lpwstr/>
      </vt:variant>
      <vt:variant>
        <vt:lpwstr>_Toc57241659</vt:lpwstr>
      </vt:variant>
      <vt:variant>
        <vt:i4>1703987</vt:i4>
      </vt:variant>
      <vt:variant>
        <vt:i4>314</vt:i4>
      </vt:variant>
      <vt:variant>
        <vt:i4>0</vt:i4>
      </vt:variant>
      <vt:variant>
        <vt:i4>5</vt:i4>
      </vt:variant>
      <vt:variant>
        <vt:lpwstr/>
      </vt:variant>
      <vt:variant>
        <vt:lpwstr>_Toc57241658</vt:lpwstr>
      </vt:variant>
      <vt:variant>
        <vt:i4>1376307</vt:i4>
      </vt:variant>
      <vt:variant>
        <vt:i4>308</vt:i4>
      </vt:variant>
      <vt:variant>
        <vt:i4>0</vt:i4>
      </vt:variant>
      <vt:variant>
        <vt:i4>5</vt:i4>
      </vt:variant>
      <vt:variant>
        <vt:lpwstr/>
      </vt:variant>
      <vt:variant>
        <vt:lpwstr>_Toc57241657</vt:lpwstr>
      </vt:variant>
      <vt:variant>
        <vt:i4>1310771</vt:i4>
      </vt:variant>
      <vt:variant>
        <vt:i4>302</vt:i4>
      </vt:variant>
      <vt:variant>
        <vt:i4>0</vt:i4>
      </vt:variant>
      <vt:variant>
        <vt:i4>5</vt:i4>
      </vt:variant>
      <vt:variant>
        <vt:lpwstr/>
      </vt:variant>
      <vt:variant>
        <vt:lpwstr>_Toc57241656</vt:lpwstr>
      </vt:variant>
      <vt:variant>
        <vt:i4>1507379</vt:i4>
      </vt:variant>
      <vt:variant>
        <vt:i4>296</vt:i4>
      </vt:variant>
      <vt:variant>
        <vt:i4>0</vt:i4>
      </vt:variant>
      <vt:variant>
        <vt:i4>5</vt:i4>
      </vt:variant>
      <vt:variant>
        <vt:lpwstr/>
      </vt:variant>
      <vt:variant>
        <vt:lpwstr>_Toc57241655</vt:lpwstr>
      </vt:variant>
      <vt:variant>
        <vt:i4>1441843</vt:i4>
      </vt:variant>
      <vt:variant>
        <vt:i4>290</vt:i4>
      </vt:variant>
      <vt:variant>
        <vt:i4>0</vt:i4>
      </vt:variant>
      <vt:variant>
        <vt:i4>5</vt:i4>
      </vt:variant>
      <vt:variant>
        <vt:lpwstr/>
      </vt:variant>
      <vt:variant>
        <vt:lpwstr>_Toc57241654</vt:lpwstr>
      </vt:variant>
      <vt:variant>
        <vt:i4>1114163</vt:i4>
      </vt:variant>
      <vt:variant>
        <vt:i4>284</vt:i4>
      </vt:variant>
      <vt:variant>
        <vt:i4>0</vt:i4>
      </vt:variant>
      <vt:variant>
        <vt:i4>5</vt:i4>
      </vt:variant>
      <vt:variant>
        <vt:lpwstr/>
      </vt:variant>
      <vt:variant>
        <vt:lpwstr>_Toc57241653</vt:lpwstr>
      </vt:variant>
      <vt:variant>
        <vt:i4>1048627</vt:i4>
      </vt:variant>
      <vt:variant>
        <vt:i4>278</vt:i4>
      </vt:variant>
      <vt:variant>
        <vt:i4>0</vt:i4>
      </vt:variant>
      <vt:variant>
        <vt:i4>5</vt:i4>
      </vt:variant>
      <vt:variant>
        <vt:lpwstr/>
      </vt:variant>
      <vt:variant>
        <vt:lpwstr>_Toc57241652</vt:lpwstr>
      </vt:variant>
      <vt:variant>
        <vt:i4>1245235</vt:i4>
      </vt:variant>
      <vt:variant>
        <vt:i4>272</vt:i4>
      </vt:variant>
      <vt:variant>
        <vt:i4>0</vt:i4>
      </vt:variant>
      <vt:variant>
        <vt:i4>5</vt:i4>
      </vt:variant>
      <vt:variant>
        <vt:lpwstr/>
      </vt:variant>
      <vt:variant>
        <vt:lpwstr>_Toc57241651</vt:lpwstr>
      </vt:variant>
      <vt:variant>
        <vt:i4>1179699</vt:i4>
      </vt:variant>
      <vt:variant>
        <vt:i4>266</vt:i4>
      </vt:variant>
      <vt:variant>
        <vt:i4>0</vt:i4>
      </vt:variant>
      <vt:variant>
        <vt:i4>5</vt:i4>
      </vt:variant>
      <vt:variant>
        <vt:lpwstr/>
      </vt:variant>
      <vt:variant>
        <vt:lpwstr>_Toc57241650</vt:lpwstr>
      </vt:variant>
      <vt:variant>
        <vt:i4>1769522</vt:i4>
      </vt:variant>
      <vt:variant>
        <vt:i4>260</vt:i4>
      </vt:variant>
      <vt:variant>
        <vt:i4>0</vt:i4>
      </vt:variant>
      <vt:variant>
        <vt:i4>5</vt:i4>
      </vt:variant>
      <vt:variant>
        <vt:lpwstr/>
      </vt:variant>
      <vt:variant>
        <vt:lpwstr>_Toc57241649</vt:lpwstr>
      </vt:variant>
      <vt:variant>
        <vt:i4>1703986</vt:i4>
      </vt:variant>
      <vt:variant>
        <vt:i4>254</vt:i4>
      </vt:variant>
      <vt:variant>
        <vt:i4>0</vt:i4>
      </vt:variant>
      <vt:variant>
        <vt:i4>5</vt:i4>
      </vt:variant>
      <vt:variant>
        <vt:lpwstr/>
      </vt:variant>
      <vt:variant>
        <vt:lpwstr>_Toc57241648</vt:lpwstr>
      </vt:variant>
      <vt:variant>
        <vt:i4>1376306</vt:i4>
      </vt:variant>
      <vt:variant>
        <vt:i4>248</vt:i4>
      </vt:variant>
      <vt:variant>
        <vt:i4>0</vt:i4>
      </vt:variant>
      <vt:variant>
        <vt:i4>5</vt:i4>
      </vt:variant>
      <vt:variant>
        <vt:lpwstr/>
      </vt:variant>
      <vt:variant>
        <vt:lpwstr>_Toc57241647</vt:lpwstr>
      </vt:variant>
      <vt:variant>
        <vt:i4>1310770</vt:i4>
      </vt:variant>
      <vt:variant>
        <vt:i4>242</vt:i4>
      </vt:variant>
      <vt:variant>
        <vt:i4>0</vt:i4>
      </vt:variant>
      <vt:variant>
        <vt:i4>5</vt:i4>
      </vt:variant>
      <vt:variant>
        <vt:lpwstr/>
      </vt:variant>
      <vt:variant>
        <vt:lpwstr>_Toc57241646</vt:lpwstr>
      </vt:variant>
      <vt:variant>
        <vt:i4>1507378</vt:i4>
      </vt:variant>
      <vt:variant>
        <vt:i4>236</vt:i4>
      </vt:variant>
      <vt:variant>
        <vt:i4>0</vt:i4>
      </vt:variant>
      <vt:variant>
        <vt:i4>5</vt:i4>
      </vt:variant>
      <vt:variant>
        <vt:lpwstr/>
      </vt:variant>
      <vt:variant>
        <vt:lpwstr>_Toc57241645</vt:lpwstr>
      </vt:variant>
      <vt:variant>
        <vt:i4>1441842</vt:i4>
      </vt:variant>
      <vt:variant>
        <vt:i4>230</vt:i4>
      </vt:variant>
      <vt:variant>
        <vt:i4>0</vt:i4>
      </vt:variant>
      <vt:variant>
        <vt:i4>5</vt:i4>
      </vt:variant>
      <vt:variant>
        <vt:lpwstr/>
      </vt:variant>
      <vt:variant>
        <vt:lpwstr>_Toc57241644</vt:lpwstr>
      </vt:variant>
      <vt:variant>
        <vt:i4>1114162</vt:i4>
      </vt:variant>
      <vt:variant>
        <vt:i4>224</vt:i4>
      </vt:variant>
      <vt:variant>
        <vt:i4>0</vt:i4>
      </vt:variant>
      <vt:variant>
        <vt:i4>5</vt:i4>
      </vt:variant>
      <vt:variant>
        <vt:lpwstr/>
      </vt:variant>
      <vt:variant>
        <vt:lpwstr>_Toc57241643</vt:lpwstr>
      </vt:variant>
      <vt:variant>
        <vt:i4>1048626</vt:i4>
      </vt:variant>
      <vt:variant>
        <vt:i4>218</vt:i4>
      </vt:variant>
      <vt:variant>
        <vt:i4>0</vt:i4>
      </vt:variant>
      <vt:variant>
        <vt:i4>5</vt:i4>
      </vt:variant>
      <vt:variant>
        <vt:lpwstr/>
      </vt:variant>
      <vt:variant>
        <vt:lpwstr>_Toc57241642</vt:lpwstr>
      </vt:variant>
      <vt:variant>
        <vt:i4>1245234</vt:i4>
      </vt:variant>
      <vt:variant>
        <vt:i4>212</vt:i4>
      </vt:variant>
      <vt:variant>
        <vt:i4>0</vt:i4>
      </vt:variant>
      <vt:variant>
        <vt:i4>5</vt:i4>
      </vt:variant>
      <vt:variant>
        <vt:lpwstr/>
      </vt:variant>
      <vt:variant>
        <vt:lpwstr>_Toc57241641</vt:lpwstr>
      </vt:variant>
      <vt:variant>
        <vt:i4>1179698</vt:i4>
      </vt:variant>
      <vt:variant>
        <vt:i4>206</vt:i4>
      </vt:variant>
      <vt:variant>
        <vt:i4>0</vt:i4>
      </vt:variant>
      <vt:variant>
        <vt:i4>5</vt:i4>
      </vt:variant>
      <vt:variant>
        <vt:lpwstr/>
      </vt:variant>
      <vt:variant>
        <vt:lpwstr>_Toc57241640</vt:lpwstr>
      </vt:variant>
      <vt:variant>
        <vt:i4>1769525</vt:i4>
      </vt:variant>
      <vt:variant>
        <vt:i4>200</vt:i4>
      </vt:variant>
      <vt:variant>
        <vt:i4>0</vt:i4>
      </vt:variant>
      <vt:variant>
        <vt:i4>5</vt:i4>
      </vt:variant>
      <vt:variant>
        <vt:lpwstr/>
      </vt:variant>
      <vt:variant>
        <vt:lpwstr>_Toc57241639</vt:lpwstr>
      </vt:variant>
      <vt:variant>
        <vt:i4>1703989</vt:i4>
      </vt:variant>
      <vt:variant>
        <vt:i4>194</vt:i4>
      </vt:variant>
      <vt:variant>
        <vt:i4>0</vt:i4>
      </vt:variant>
      <vt:variant>
        <vt:i4>5</vt:i4>
      </vt:variant>
      <vt:variant>
        <vt:lpwstr/>
      </vt:variant>
      <vt:variant>
        <vt:lpwstr>_Toc57241638</vt:lpwstr>
      </vt:variant>
      <vt:variant>
        <vt:i4>1376309</vt:i4>
      </vt:variant>
      <vt:variant>
        <vt:i4>188</vt:i4>
      </vt:variant>
      <vt:variant>
        <vt:i4>0</vt:i4>
      </vt:variant>
      <vt:variant>
        <vt:i4>5</vt:i4>
      </vt:variant>
      <vt:variant>
        <vt:lpwstr/>
      </vt:variant>
      <vt:variant>
        <vt:lpwstr>_Toc57241637</vt:lpwstr>
      </vt:variant>
      <vt:variant>
        <vt:i4>1310773</vt:i4>
      </vt:variant>
      <vt:variant>
        <vt:i4>182</vt:i4>
      </vt:variant>
      <vt:variant>
        <vt:i4>0</vt:i4>
      </vt:variant>
      <vt:variant>
        <vt:i4>5</vt:i4>
      </vt:variant>
      <vt:variant>
        <vt:lpwstr/>
      </vt:variant>
      <vt:variant>
        <vt:lpwstr>_Toc57241636</vt:lpwstr>
      </vt:variant>
      <vt:variant>
        <vt:i4>1507381</vt:i4>
      </vt:variant>
      <vt:variant>
        <vt:i4>176</vt:i4>
      </vt:variant>
      <vt:variant>
        <vt:i4>0</vt:i4>
      </vt:variant>
      <vt:variant>
        <vt:i4>5</vt:i4>
      </vt:variant>
      <vt:variant>
        <vt:lpwstr/>
      </vt:variant>
      <vt:variant>
        <vt:lpwstr>_Toc57241635</vt:lpwstr>
      </vt:variant>
      <vt:variant>
        <vt:i4>1441845</vt:i4>
      </vt:variant>
      <vt:variant>
        <vt:i4>170</vt:i4>
      </vt:variant>
      <vt:variant>
        <vt:i4>0</vt:i4>
      </vt:variant>
      <vt:variant>
        <vt:i4>5</vt:i4>
      </vt:variant>
      <vt:variant>
        <vt:lpwstr/>
      </vt:variant>
      <vt:variant>
        <vt:lpwstr>_Toc57241634</vt:lpwstr>
      </vt:variant>
      <vt:variant>
        <vt:i4>1114165</vt:i4>
      </vt:variant>
      <vt:variant>
        <vt:i4>164</vt:i4>
      </vt:variant>
      <vt:variant>
        <vt:i4>0</vt:i4>
      </vt:variant>
      <vt:variant>
        <vt:i4>5</vt:i4>
      </vt:variant>
      <vt:variant>
        <vt:lpwstr/>
      </vt:variant>
      <vt:variant>
        <vt:lpwstr>_Toc57241633</vt:lpwstr>
      </vt:variant>
      <vt:variant>
        <vt:i4>1048629</vt:i4>
      </vt:variant>
      <vt:variant>
        <vt:i4>158</vt:i4>
      </vt:variant>
      <vt:variant>
        <vt:i4>0</vt:i4>
      </vt:variant>
      <vt:variant>
        <vt:i4>5</vt:i4>
      </vt:variant>
      <vt:variant>
        <vt:lpwstr/>
      </vt:variant>
      <vt:variant>
        <vt:lpwstr>_Toc57241632</vt:lpwstr>
      </vt:variant>
      <vt:variant>
        <vt:i4>1245237</vt:i4>
      </vt:variant>
      <vt:variant>
        <vt:i4>152</vt:i4>
      </vt:variant>
      <vt:variant>
        <vt:i4>0</vt:i4>
      </vt:variant>
      <vt:variant>
        <vt:i4>5</vt:i4>
      </vt:variant>
      <vt:variant>
        <vt:lpwstr/>
      </vt:variant>
      <vt:variant>
        <vt:lpwstr>_Toc57241631</vt:lpwstr>
      </vt:variant>
      <vt:variant>
        <vt:i4>1179701</vt:i4>
      </vt:variant>
      <vt:variant>
        <vt:i4>146</vt:i4>
      </vt:variant>
      <vt:variant>
        <vt:i4>0</vt:i4>
      </vt:variant>
      <vt:variant>
        <vt:i4>5</vt:i4>
      </vt:variant>
      <vt:variant>
        <vt:lpwstr/>
      </vt:variant>
      <vt:variant>
        <vt:lpwstr>_Toc57241630</vt:lpwstr>
      </vt:variant>
      <vt:variant>
        <vt:i4>1769524</vt:i4>
      </vt:variant>
      <vt:variant>
        <vt:i4>140</vt:i4>
      </vt:variant>
      <vt:variant>
        <vt:i4>0</vt:i4>
      </vt:variant>
      <vt:variant>
        <vt:i4>5</vt:i4>
      </vt:variant>
      <vt:variant>
        <vt:lpwstr/>
      </vt:variant>
      <vt:variant>
        <vt:lpwstr>_Toc57241629</vt:lpwstr>
      </vt:variant>
      <vt:variant>
        <vt:i4>1703988</vt:i4>
      </vt:variant>
      <vt:variant>
        <vt:i4>134</vt:i4>
      </vt:variant>
      <vt:variant>
        <vt:i4>0</vt:i4>
      </vt:variant>
      <vt:variant>
        <vt:i4>5</vt:i4>
      </vt:variant>
      <vt:variant>
        <vt:lpwstr/>
      </vt:variant>
      <vt:variant>
        <vt:lpwstr>_Toc57241628</vt:lpwstr>
      </vt:variant>
      <vt:variant>
        <vt:i4>1376308</vt:i4>
      </vt:variant>
      <vt:variant>
        <vt:i4>128</vt:i4>
      </vt:variant>
      <vt:variant>
        <vt:i4>0</vt:i4>
      </vt:variant>
      <vt:variant>
        <vt:i4>5</vt:i4>
      </vt:variant>
      <vt:variant>
        <vt:lpwstr/>
      </vt:variant>
      <vt:variant>
        <vt:lpwstr>_Toc57241627</vt:lpwstr>
      </vt:variant>
      <vt:variant>
        <vt:i4>1310772</vt:i4>
      </vt:variant>
      <vt:variant>
        <vt:i4>122</vt:i4>
      </vt:variant>
      <vt:variant>
        <vt:i4>0</vt:i4>
      </vt:variant>
      <vt:variant>
        <vt:i4>5</vt:i4>
      </vt:variant>
      <vt:variant>
        <vt:lpwstr/>
      </vt:variant>
      <vt:variant>
        <vt:lpwstr>_Toc57241626</vt:lpwstr>
      </vt:variant>
      <vt:variant>
        <vt:i4>1507380</vt:i4>
      </vt:variant>
      <vt:variant>
        <vt:i4>116</vt:i4>
      </vt:variant>
      <vt:variant>
        <vt:i4>0</vt:i4>
      </vt:variant>
      <vt:variant>
        <vt:i4>5</vt:i4>
      </vt:variant>
      <vt:variant>
        <vt:lpwstr/>
      </vt:variant>
      <vt:variant>
        <vt:lpwstr>_Toc57241625</vt:lpwstr>
      </vt:variant>
      <vt:variant>
        <vt:i4>1441844</vt:i4>
      </vt:variant>
      <vt:variant>
        <vt:i4>110</vt:i4>
      </vt:variant>
      <vt:variant>
        <vt:i4>0</vt:i4>
      </vt:variant>
      <vt:variant>
        <vt:i4>5</vt:i4>
      </vt:variant>
      <vt:variant>
        <vt:lpwstr/>
      </vt:variant>
      <vt:variant>
        <vt:lpwstr>_Toc57241624</vt:lpwstr>
      </vt:variant>
      <vt:variant>
        <vt:i4>1114164</vt:i4>
      </vt:variant>
      <vt:variant>
        <vt:i4>104</vt:i4>
      </vt:variant>
      <vt:variant>
        <vt:i4>0</vt:i4>
      </vt:variant>
      <vt:variant>
        <vt:i4>5</vt:i4>
      </vt:variant>
      <vt:variant>
        <vt:lpwstr/>
      </vt:variant>
      <vt:variant>
        <vt:lpwstr>_Toc57241623</vt:lpwstr>
      </vt:variant>
      <vt:variant>
        <vt:i4>1048628</vt:i4>
      </vt:variant>
      <vt:variant>
        <vt:i4>98</vt:i4>
      </vt:variant>
      <vt:variant>
        <vt:i4>0</vt:i4>
      </vt:variant>
      <vt:variant>
        <vt:i4>5</vt:i4>
      </vt:variant>
      <vt:variant>
        <vt:lpwstr/>
      </vt:variant>
      <vt:variant>
        <vt:lpwstr>_Toc57241622</vt:lpwstr>
      </vt:variant>
      <vt:variant>
        <vt:i4>1245236</vt:i4>
      </vt:variant>
      <vt:variant>
        <vt:i4>92</vt:i4>
      </vt:variant>
      <vt:variant>
        <vt:i4>0</vt:i4>
      </vt:variant>
      <vt:variant>
        <vt:i4>5</vt:i4>
      </vt:variant>
      <vt:variant>
        <vt:lpwstr/>
      </vt:variant>
      <vt:variant>
        <vt:lpwstr>_Toc57241621</vt:lpwstr>
      </vt:variant>
      <vt:variant>
        <vt:i4>1179700</vt:i4>
      </vt:variant>
      <vt:variant>
        <vt:i4>86</vt:i4>
      </vt:variant>
      <vt:variant>
        <vt:i4>0</vt:i4>
      </vt:variant>
      <vt:variant>
        <vt:i4>5</vt:i4>
      </vt:variant>
      <vt:variant>
        <vt:lpwstr/>
      </vt:variant>
      <vt:variant>
        <vt:lpwstr>_Toc57241620</vt:lpwstr>
      </vt:variant>
      <vt:variant>
        <vt:i4>1769527</vt:i4>
      </vt:variant>
      <vt:variant>
        <vt:i4>80</vt:i4>
      </vt:variant>
      <vt:variant>
        <vt:i4>0</vt:i4>
      </vt:variant>
      <vt:variant>
        <vt:i4>5</vt:i4>
      </vt:variant>
      <vt:variant>
        <vt:lpwstr/>
      </vt:variant>
      <vt:variant>
        <vt:lpwstr>_Toc57241619</vt:lpwstr>
      </vt:variant>
      <vt:variant>
        <vt:i4>1703991</vt:i4>
      </vt:variant>
      <vt:variant>
        <vt:i4>74</vt:i4>
      </vt:variant>
      <vt:variant>
        <vt:i4>0</vt:i4>
      </vt:variant>
      <vt:variant>
        <vt:i4>5</vt:i4>
      </vt:variant>
      <vt:variant>
        <vt:lpwstr/>
      </vt:variant>
      <vt:variant>
        <vt:lpwstr>_Toc57241618</vt:lpwstr>
      </vt:variant>
      <vt:variant>
        <vt:i4>1376311</vt:i4>
      </vt:variant>
      <vt:variant>
        <vt:i4>68</vt:i4>
      </vt:variant>
      <vt:variant>
        <vt:i4>0</vt:i4>
      </vt:variant>
      <vt:variant>
        <vt:i4>5</vt:i4>
      </vt:variant>
      <vt:variant>
        <vt:lpwstr/>
      </vt:variant>
      <vt:variant>
        <vt:lpwstr>_Toc57241617</vt:lpwstr>
      </vt:variant>
      <vt:variant>
        <vt:i4>1310775</vt:i4>
      </vt:variant>
      <vt:variant>
        <vt:i4>62</vt:i4>
      </vt:variant>
      <vt:variant>
        <vt:i4>0</vt:i4>
      </vt:variant>
      <vt:variant>
        <vt:i4>5</vt:i4>
      </vt:variant>
      <vt:variant>
        <vt:lpwstr/>
      </vt:variant>
      <vt:variant>
        <vt:lpwstr>_Toc57241616</vt:lpwstr>
      </vt:variant>
      <vt:variant>
        <vt:i4>1507383</vt:i4>
      </vt:variant>
      <vt:variant>
        <vt:i4>56</vt:i4>
      </vt:variant>
      <vt:variant>
        <vt:i4>0</vt:i4>
      </vt:variant>
      <vt:variant>
        <vt:i4>5</vt:i4>
      </vt:variant>
      <vt:variant>
        <vt:lpwstr/>
      </vt:variant>
      <vt:variant>
        <vt:lpwstr>_Toc57241615</vt:lpwstr>
      </vt:variant>
      <vt:variant>
        <vt:i4>1441847</vt:i4>
      </vt:variant>
      <vt:variant>
        <vt:i4>50</vt:i4>
      </vt:variant>
      <vt:variant>
        <vt:i4>0</vt:i4>
      </vt:variant>
      <vt:variant>
        <vt:i4>5</vt:i4>
      </vt:variant>
      <vt:variant>
        <vt:lpwstr/>
      </vt:variant>
      <vt:variant>
        <vt:lpwstr>_Toc57241614</vt:lpwstr>
      </vt:variant>
      <vt:variant>
        <vt:i4>1114167</vt:i4>
      </vt:variant>
      <vt:variant>
        <vt:i4>44</vt:i4>
      </vt:variant>
      <vt:variant>
        <vt:i4>0</vt:i4>
      </vt:variant>
      <vt:variant>
        <vt:i4>5</vt:i4>
      </vt:variant>
      <vt:variant>
        <vt:lpwstr/>
      </vt:variant>
      <vt:variant>
        <vt:lpwstr>_Toc57241613</vt:lpwstr>
      </vt:variant>
      <vt:variant>
        <vt:i4>1048631</vt:i4>
      </vt:variant>
      <vt:variant>
        <vt:i4>38</vt:i4>
      </vt:variant>
      <vt:variant>
        <vt:i4>0</vt:i4>
      </vt:variant>
      <vt:variant>
        <vt:i4>5</vt:i4>
      </vt:variant>
      <vt:variant>
        <vt:lpwstr/>
      </vt:variant>
      <vt:variant>
        <vt:lpwstr>_Toc57241612</vt:lpwstr>
      </vt:variant>
      <vt:variant>
        <vt:i4>1245239</vt:i4>
      </vt:variant>
      <vt:variant>
        <vt:i4>32</vt:i4>
      </vt:variant>
      <vt:variant>
        <vt:i4>0</vt:i4>
      </vt:variant>
      <vt:variant>
        <vt:i4>5</vt:i4>
      </vt:variant>
      <vt:variant>
        <vt:lpwstr/>
      </vt:variant>
      <vt:variant>
        <vt:lpwstr>_Toc57241611</vt:lpwstr>
      </vt:variant>
      <vt:variant>
        <vt:i4>1179703</vt:i4>
      </vt:variant>
      <vt:variant>
        <vt:i4>26</vt:i4>
      </vt:variant>
      <vt:variant>
        <vt:i4>0</vt:i4>
      </vt:variant>
      <vt:variant>
        <vt:i4>5</vt:i4>
      </vt:variant>
      <vt:variant>
        <vt:lpwstr/>
      </vt:variant>
      <vt:variant>
        <vt:lpwstr>_Toc57241610</vt:lpwstr>
      </vt:variant>
      <vt:variant>
        <vt:i4>1769526</vt:i4>
      </vt:variant>
      <vt:variant>
        <vt:i4>20</vt:i4>
      </vt:variant>
      <vt:variant>
        <vt:i4>0</vt:i4>
      </vt:variant>
      <vt:variant>
        <vt:i4>5</vt:i4>
      </vt:variant>
      <vt:variant>
        <vt:lpwstr/>
      </vt:variant>
      <vt:variant>
        <vt:lpwstr>_Toc57241609</vt:lpwstr>
      </vt:variant>
      <vt:variant>
        <vt:i4>1703990</vt:i4>
      </vt:variant>
      <vt:variant>
        <vt:i4>14</vt:i4>
      </vt:variant>
      <vt:variant>
        <vt:i4>0</vt:i4>
      </vt:variant>
      <vt:variant>
        <vt:i4>5</vt:i4>
      </vt:variant>
      <vt:variant>
        <vt:lpwstr/>
      </vt:variant>
      <vt:variant>
        <vt:lpwstr>_Toc57241608</vt:lpwstr>
      </vt:variant>
      <vt:variant>
        <vt:i4>1376310</vt:i4>
      </vt:variant>
      <vt:variant>
        <vt:i4>8</vt:i4>
      </vt:variant>
      <vt:variant>
        <vt:i4>0</vt:i4>
      </vt:variant>
      <vt:variant>
        <vt:i4>5</vt:i4>
      </vt:variant>
      <vt:variant>
        <vt:lpwstr/>
      </vt:variant>
      <vt:variant>
        <vt:lpwstr>_Toc57241607</vt:lpwstr>
      </vt:variant>
      <vt:variant>
        <vt:i4>1310774</vt:i4>
      </vt:variant>
      <vt:variant>
        <vt:i4>2</vt:i4>
      </vt:variant>
      <vt:variant>
        <vt:i4>0</vt:i4>
      </vt:variant>
      <vt:variant>
        <vt:i4>5</vt:i4>
      </vt:variant>
      <vt:variant>
        <vt:lpwstr/>
      </vt:variant>
      <vt:variant>
        <vt:lpwstr>_Toc57241606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Συγγραφέας</dc:creator>
  <cp:keywords/>
  <cp:lastModifiedBy>Φανή Τσιλίκα</cp:lastModifiedBy>
  <cp:revision>4</cp:revision>
  <dcterms:created xsi:type="dcterms:W3CDTF">2020-11-26T07:45:00Z</dcterms:created>
  <dcterms:modified xsi:type="dcterms:W3CDTF">2020-11-30T19:52:00Z</dcterms:modified>
</cp:coreProperties>
</file>